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42004" w14:textId="25D1E768" w:rsidR="00804417" w:rsidRDefault="00BE7F73" w:rsidP="00BE7F73">
      <w:pPr>
        <w:jc w:val="center"/>
        <w:rPr>
          <w:b/>
          <w:bCs/>
          <w:lang w:val="pl-PL"/>
        </w:rPr>
      </w:pPr>
      <w:r w:rsidRPr="00BE7F73">
        <w:rPr>
          <w:b/>
          <w:bCs/>
          <w:lang w:val="pl-PL"/>
        </w:rPr>
        <w:t xml:space="preserve">Dłuższe życie sprawia, że konsumujemy więcej leków: czy branża farmaceutyczna może </w:t>
      </w:r>
      <w:r w:rsidR="00AC6A9B">
        <w:rPr>
          <w:b/>
          <w:bCs/>
          <w:lang w:val="pl-PL"/>
        </w:rPr>
        <w:t>podjąć się bardziej wydajnej produkcji</w:t>
      </w:r>
      <w:r w:rsidRPr="00BE7F73">
        <w:rPr>
          <w:b/>
          <w:bCs/>
          <w:lang w:val="pl-PL"/>
        </w:rPr>
        <w:t>?</w:t>
      </w:r>
    </w:p>
    <w:p w14:paraId="0EC9F34B" w14:textId="77777777" w:rsidR="00BE7F73" w:rsidRPr="00BE7F73" w:rsidRDefault="00BE7F73">
      <w:pPr>
        <w:rPr>
          <w:lang w:val="pl-PL"/>
        </w:rPr>
      </w:pPr>
    </w:p>
    <w:p w14:paraId="5767D5D3" w14:textId="4844BD4B" w:rsidR="00B048FE" w:rsidRPr="00B048FE" w:rsidRDefault="00B048FE" w:rsidP="00B048FE">
      <w:pPr>
        <w:rPr>
          <w:lang w:val="pl-PL"/>
        </w:rPr>
      </w:pPr>
      <w:r w:rsidRPr="00B048FE">
        <w:rPr>
          <w:lang w:val="pl-PL"/>
        </w:rPr>
        <w:t xml:space="preserve">Przemysł farmaceutyczny </w:t>
      </w:r>
      <w:r w:rsidR="00883349">
        <w:rPr>
          <w:lang w:val="pl-PL"/>
        </w:rPr>
        <w:t>staje się ofiarą własnego sukcesu. Jego p</w:t>
      </w:r>
      <w:r w:rsidRPr="00B048FE">
        <w:rPr>
          <w:lang w:val="pl-PL"/>
        </w:rPr>
        <w:t xml:space="preserve">rodukty </w:t>
      </w:r>
      <w:r w:rsidR="00883349">
        <w:rPr>
          <w:lang w:val="pl-PL"/>
        </w:rPr>
        <w:t xml:space="preserve">tak </w:t>
      </w:r>
      <w:r w:rsidRPr="00B048FE">
        <w:rPr>
          <w:lang w:val="pl-PL"/>
        </w:rPr>
        <w:t>skuteczn</w:t>
      </w:r>
      <w:r w:rsidR="00883349">
        <w:rPr>
          <w:lang w:val="pl-PL"/>
        </w:rPr>
        <w:t>i</w:t>
      </w:r>
      <w:r w:rsidRPr="00B048FE">
        <w:rPr>
          <w:lang w:val="pl-PL"/>
        </w:rPr>
        <w:t>e przedłuża</w:t>
      </w:r>
      <w:r w:rsidR="00883349">
        <w:rPr>
          <w:lang w:val="pl-PL"/>
        </w:rPr>
        <w:t xml:space="preserve">ją ludzkie </w:t>
      </w:r>
      <w:r w:rsidRPr="00B048FE">
        <w:rPr>
          <w:lang w:val="pl-PL"/>
        </w:rPr>
        <w:t>życi</w:t>
      </w:r>
      <w:r w:rsidR="00883349">
        <w:rPr>
          <w:lang w:val="pl-PL"/>
        </w:rPr>
        <w:t>e</w:t>
      </w:r>
      <w:r w:rsidRPr="00B048FE">
        <w:rPr>
          <w:lang w:val="pl-PL"/>
        </w:rPr>
        <w:t xml:space="preserve">, że </w:t>
      </w:r>
      <w:r w:rsidR="00883349">
        <w:rPr>
          <w:lang w:val="pl-PL"/>
        </w:rPr>
        <w:t xml:space="preserve">na całym świecie </w:t>
      </w:r>
      <w:r w:rsidRPr="00B048FE">
        <w:rPr>
          <w:lang w:val="pl-PL"/>
        </w:rPr>
        <w:t xml:space="preserve">koszty konsumpcji leków przekraczają </w:t>
      </w:r>
      <w:r w:rsidR="00883349">
        <w:rPr>
          <w:lang w:val="pl-PL"/>
        </w:rPr>
        <w:t xml:space="preserve">możliwości </w:t>
      </w:r>
      <w:r w:rsidR="00AC6A9B">
        <w:rPr>
          <w:lang w:val="pl-PL"/>
        </w:rPr>
        <w:t>nabywców</w:t>
      </w:r>
      <w:r w:rsidR="00883349">
        <w:rPr>
          <w:lang w:val="pl-PL"/>
        </w:rPr>
        <w:t xml:space="preserve">. Dlatego firma </w:t>
      </w:r>
      <w:r w:rsidRPr="00B048FE">
        <w:rPr>
          <w:lang w:val="pl-PL"/>
        </w:rPr>
        <w:t>WMFTG podjęła współpracę</w:t>
      </w:r>
      <w:r w:rsidR="008D5838">
        <w:rPr>
          <w:lang w:val="pl-PL"/>
        </w:rPr>
        <w:t xml:space="preserve"> z </w:t>
      </w:r>
      <w:r w:rsidR="00883349">
        <w:rPr>
          <w:lang w:val="pl-PL"/>
        </w:rPr>
        <w:t xml:space="preserve">czołowymi </w:t>
      </w:r>
      <w:r w:rsidRPr="00B048FE">
        <w:rPr>
          <w:lang w:val="pl-PL"/>
        </w:rPr>
        <w:t>ekspertami</w:t>
      </w:r>
      <w:r w:rsidR="008D5838">
        <w:rPr>
          <w:lang w:val="pl-PL"/>
        </w:rPr>
        <w:t xml:space="preserve"> z </w:t>
      </w:r>
      <w:r w:rsidRPr="00B048FE">
        <w:rPr>
          <w:lang w:val="pl-PL"/>
        </w:rPr>
        <w:t>branży</w:t>
      </w:r>
      <w:r w:rsidR="008D5838">
        <w:rPr>
          <w:lang w:val="pl-PL"/>
        </w:rPr>
        <w:t xml:space="preserve"> w </w:t>
      </w:r>
      <w:r w:rsidRPr="00B048FE">
        <w:rPr>
          <w:lang w:val="pl-PL"/>
        </w:rPr>
        <w:t xml:space="preserve">celu </w:t>
      </w:r>
      <w:r w:rsidR="00AC6A9B">
        <w:rPr>
          <w:lang w:val="pl-PL"/>
        </w:rPr>
        <w:t xml:space="preserve">przedyskutowania </w:t>
      </w:r>
      <w:r w:rsidRPr="00B048FE">
        <w:rPr>
          <w:lang w:val="pl-PL"/>
        </w:rPr>
        <w:t xml:space="preserve">rozwiązań, dzięki którym </w:t>
      </w:r>
      <w:r w:rsidR="00883349">
        <w:rPr>
          <w:lang w:val="pl-PL"/>
        </w:rPr>
        <w:t xml:space="preserve">przemysł </w:t>
      </w:r>
      <w:r w:rsidRPr="00B048FE">
        <w:rPr>
          <w:lang w:val="pl-PL"/>
        </w:rPr>
        <w:t>farmaceutyczn</w:t>
      </w:r>
      <w:r w:rsidR="00883349">
        <w:rPr>
          <w:lang w:val="pl-PL"/>
        </w:rPr>
        <w:t xml:space="preserve">y </w:t>
      </w:r>
      <w:r w:rsidRPr="00B048FE">
        <w:rPr>
          <w:lang w:val="pl-PL"/>
        </w:rPr>
        <w:t>m</w:t>
      </w:r>
      <w:r w:rsidR="00883349">
        <w:rPr>
          <w:lang w:val="pl-PL"/>
        </w:rPr>
        <w:t>ó</w:t>
      </w:r>
      <w:r w:rsidRPr="00B048FE">
        <w:rPr>
          <w:lang w:val="pl-PL"/>
        </w:rPr>
        <w:t>głby dostarczać nowe leki szybciej</w:t>
      </w:r>
      <w:r w:rsidR="008D5838">
        <w:rPr>
          <w:lang w:val="pl-PL"/>
        </w:rPr>
        <w:t xml:space="preserve"> i </w:t>
      </w:r>
      <w:r w:rsidRPr="00B048FE">
        <w:rPr>
          <w:lang w:val="pl-PL"/>
        </w:rPr>
        <w:t xml:space="preserve">po niższych </w:t>
      </w:r>
      <w:r w:rsidR="00883349">
        <w:rPr>
          <w:lang w:val="pl-PL"/>
        </w:rPr>
        <w:t>cenach</w:t>
      </w:r>
      <w:r w:rsidRPr="00B048FE">
        <w:rPr>
          <w:lang w:val="pl-PL"/>
        </w:rPr>
        <w:t>, aby sprostać ciągle rosnącym potrzebom starzejącego się społeczeństwa</w:t>
      </w:r>
      <w:r w:rsidR="008D5838">
        <w:rPr>
          <w:lang w:val="pl-PL"/>
        </w:rPr>
        <w:t xml:space="preserve"> i </w:t>
      </w:r>
      <w:r w:rsidRPr="00B048FE">
        <w:rPr>
          <w:lang w:val="pl-PL"/>
        </w:rPr>
        <w:t xml:space="preserve">napiętym budżetom służby zdrowia. </w:t>
      </w:r>
    </w:p>
    <w:p w14:paraId="4B0E9497" w14:textId="1B73F060" w:rsidR="00053D52" w:rsidRPr="00B048FE" w:rsidRDefault="00053D52" w:rsidP="00B048FE">
      <w:pPr>
        <w:rPr>
          <w:lang w:val="pl-PL"/>
        </w:rPr>
      </w:pPr>
    </w:p>
    <w:p w14:paraId="60699364" w14:textId="6A1EB3EF" w:rsidR="00F97F44" w:rsidRDefault="00883349" w:rsidP="00804417">
      <w:pPr>
        <w:rPr>
          <w:lang w:val="pl-PL"/>
        </w:rPr>
      </w:pPr>
      <w:r>
        <w:rPr>
          <w:lang w:val="pl-PL"/>
        </w:rPr>
        <w:t xml:space="preserve">W </w:t>
      </w:r>
      <w:r w:rsidR="008D5838">
        <w:rPr>
          <w:lang w:val="pl-PL"/>
        </w:rPr>
        <w:t xml:space="preserve">ten sposób </w:t>
      </w:r>
      <w:r>
        <w:rPr>
          <w:lang w:val="pl-PL"/>
        </w:rPr>
        <w:t xml:space="preserve">powstał raport opublikowany przez </w:t>
      </w:r>
      <w:r w:rsidR="00DE7B8E" w:rsidRPr="00DE7B8E">
        <w:rPr>
          <w:lang w:val="pl-PL"/>
        </w:rPr>
        <w:t xml:space="preserve">irlandzki National </w:t>
      </w:r>
      <w:proofErr w:type="spellStart"/>
      <w:r w:rsidR="00DE7B8E" w:rsidRPr="00DE7B8E">
        <w:rPr>
          <w:lang w:val="pl-PL"/>
        </w:rPr>
        <w:t>Institute</w:t>
      </w:r>
      <w:proofErr w:type="spellEnd"/>
      <w:r w:rsidR="00DE7B8E" w:rsidRPr="00DE7B8E">
        <w:rPr>
          <w:lang w:val="pl-PL"/>
        </w:rPr>
        <w:t xml:space="preserve"> for </w:t>
      </w:r>
      <w:proofErr w:type="spellStart"/>
      <w:r w:rsidR="00DE7B8E" w:rsidRPr="00DE7B8E">
        <w:rPr>
          <w:lang w:val="pl-PL"/>
        </w:rPr>
        <w:t>Bioprocessing</w:t>
      </w:r>
      <w:proofErr w:type="spellEnd"/>
      <w:r w:rsidR="00DE7B8E" w:rsidRPr="00DE7B8E">
        <w:rPr>
          <w:lang w:val="pl-PL"/>
        </w:rPr>
        <w:t xml:space="preserve"> </w:t>
      </w:r>
      <w:proofErr w:type="spellStart"/>
      <w:r w:rsidR="00DE7B8E" w:rsidRPr="00DE7B8E">
        <w:rPr>
          <w:lang w:val="pl-PL"/>
        </w:rPr>
        <w:t>Research</w:t>
      </w:r>
      <w:proofErr w:type="spellEnd"/>
      <w:r w:rsidR="00DE7B8E" w:rsidRPr="00DE7B8E">
        <w:rPr>
          <w:lang w:val="pl-PL"/>
        </w:rPr>
        <w:t xml:space="preserve"> and Training oraz firmy O'Hara Technologies</w:t>
      </w:r>
      <w:r w:rsidR="008D5838">
        <w:rPr>
          <w:lang w:val="pl-PL"/>
        </w:rPr>
        <w:t xml:space="preserve"> i </w:t>
      </w:r>
      <w:r w:rsidR="00DE7B8E" w:rsidRPr="00DE7B8E">
        <w:rPr>
          <w:lang w:val="pl-PL"/>
        </w:rPr>
        <w:t>Watson-Marlow Fluid Technology Group.</w:t>
      </w:r>
    </w:p>
    <w:p w14:paraId="4E033418" w14:textId="77777777" w:rsidR="00DE7B8E" w:rsidRPr="00DE7B8E" w:rsidRDefault="00DE7B8E" w:rsidP="00804417">
      <w:pPr>
        <w:rPr>
          <w:lang w:val="pl-PL"/>
        </w:rPr>
      </w:pPr>
    </w:p>
    <w:p w14:paraId="47054553" w14:textId="5F993DD7" w:rsidR="00DE7B8E" w:rsidRPr="00DE7B8E" w:rsidRDefault="00DE7B8E" w:rsidP="00DE7B8E">
      <w:pPr>
        <w:rPr>
          <w:lang w:val="pl-PL"/>
        </w:rPr>
      </w:pPr>
      <w:r w:rsidRPr="00DE7B8E">
        <w:rPr>
          <w:lang w:val="pl-PL"/>
        </w:rPr>
        <w:t>Wraz ze wzrostem średniej długości życia na świecie coraz więcej osób cierpi na choroby przewlekłe. Zmusza to systemy opieki zdrowotnej do finansowania dodatkowego leczenia,</w:t>
      </w:r>
      <w:r w:rsidR="008D5838">
        <w:rPr>
          <w:lang w:val="pl-PL"/>
        </w:rPr>
        <w:t xml:space="preserve"> a </w:t>
      </w:r>
      <w:r w:rsidRPr="00DE7B8E">
        <w:rPr>
          <w:lang w:val="pl-PL"/>
        </w:rPr>
        <w:t xml:space="preserve">firmy farmaceutyczne </w:t>
      </w:r>
      <w:r w:rsidR="00883349">
        <w:rPr>
          <w:lang w:val="pl-PL"/>
        </w:rPr>
        <w:t xml:space="preserve">– </w:t>
      </w:r>
      <w:r w:rsidRPr="00DE7B8E">
        <w:rPr>
          <w:lang w:val="pl-PL"/>
        </w:rPr>
        <w:t>do coraz bardziej efektywne</w:t>
      </w:r>
      <w:r w:rsidR="00AC6A9B">
        <w:rPr>
          <w:lang w:val="pl-PL"/>
        </w:rPr>
        <w:t xml:space="preserve">j produkcji </w:t>
      </w:r>
      <w:r w:rsidRPr="00DE7B8E">
        <w:rPr>
          <w:lang w:val="pl-PL"/>
        </w:rPr>
        <w:t xml:space="preserve">leków. </w:t>
      </w:r>
      <w:r w:rsidRPr="000210D6">
        <w:rPr>
          <w:lang w:val="pl-PL"/>
        </w:rPr>
        <w:t>Jest to szczególnie widoczne</w:t>
      </w:r>
      <w:r w:rsidR="008D5838">
        <w:rPr>
          <w:lang w:val="pl-PL"/>
        </w:rPr>
        <w:t xml:space="preserve"> w </w:t>
      </w:r>
      <w:r w:rsidRPr="000210D6">
        <w:rPr>
          <w:lang w:val="pl-PL"/>
        </w:rPr>
        <w:t>Europie, gdzie rządowe ograniczenia finansowani</w:t>
      </w:r>
      <w:r w:rsidR="00883349" w:rsidRPr="000210D6">
        <w:rPr>
          <w:lang w:val="pl-PL"/>
        </w:rPr>
        <w:t>a</w:t>
      </w:r>
      <w:r w:rsidRPr="000210D6">
        <w:rPr>
          <w:lang w:val="pl-PL"/>
        </w:rPr>
        <w:t xml:space="preserve"> poważn</w:t>
      </w:r>
      <w:r w:rsidR="00883349" w:rsidRPr="000210D6">
        <w:rPr>
          <w:lang w:val="pl-PL"/>
        </w:rPr>
        <w:t>i</w:t>
      </w:r>
      <w:r w:rsidRPr="000210D6">
        <w:rPr>
          <w:lang w:val="pl-PL"/>
        </w:rPr>
        <w:t xml:space="preserve">e </w:t>
      </w:r>
      <w:r w:rsidR="00AC6A9B">
        <w:rPr>
          <w:lang w:val="pl-PL"/>
        </w:rPr>
        <w:t xml:space="preserve">obniżają </w:t>
      </w:r>
      <w:r w:rsidR="00883349" w:rsidRPr="000210D6">
        <w:rPr>
          <w:lang w:val="pl-PL"/>
        </w:rPr>
        <w:t xml:space="preserve">możliwości </w:t>
      </w:r>
      <w:r w:rsidRPr="000210D6">
        <w:rPr>
          <w:lang w:val="pl-PL"/>
        </w:rPr>
        <w:t xml:space="preserve">refundacji </w:t>
      </w:r>
      <w:r w:rsidR="00883349" w:rsidRPr="000210D6">
        <w:rPr>
          <w:lang w:val="pl-PL"/>
        </w:rPr>
        <w:t xml:space="preserve">kosztów </w:t>
      </w:r>
      <w:r w:rsidRPr="000210D6">
        <w:rPr>
          <w:lang w:val="pl-PL"/>
        </w:rPr>
        <w:t xml:space="preserve">leków. </w:t>
      </w:r>
      <w:r w:rsidR="00AC6A9B">
        <w:rPr>
          <w:lang w:val="pl-PL"/>
        </w:rPr>
        <w:t xml:space="preserve">Jest to poważne obciążenie na </w:t>
      </w:r>
      <w:r w:rsidRPr="000210D6">
        <w:rPr>
          <w:lang w:val="pl-PL"/>
        </w:rPr>
        <w:t>wszystki</w:t>
      </w:r>
      <w:r w:rsidR="00AC6A9B">
        <w:rPr>
          <w:lang w:val="pl-PL"/>
        </w:rPr>
        <w:t xml:space="preserve">ch </w:t>
      </w:r>
      <w:r w:rsidRPr="000210D6">
        <w:rPr>
          <w:lang w:val="pl-PL"/>
        </w:rPr>
        <w:t>etap</w:t>
      </w:r>
      <w:r w:rsidR="00AC6A9B">
        <w:rPr>
          <w:lang w:val="pl-PL"/>
        </w:rPr>
        <w:t>ach</w:t>
      </w:r>
      <w:r w:rsidR="000210D6" w:rsidRPr="000210D6">
        <w:rPr>
          <w:lang w:val="pl-PL"/>
        </w:rPr>
        <w:t xml:space="preserve"> </w:t>
      </w:r>
      <w:r w:rsidRPr="000210D6">
        <w:rPr>
          <w:lang w:val="pl-PL"/>
        </w:rPr>
        <w:t>opracowywania</w:t>
      </w:r>
      <w:r w:rsidR="008D5838">
        <w:rPr>
          <w:lang w:val="pl-PL"/>
        </w:rPr>
        <w:t xml:space="preserve"> i </w:t>
      </w:r>
      <w:r w:rsidRPr="000210D6">
        <w:rPr>
          <w:lang w:val="pl-PL"/>
        </w:rPr>
        <w:t>produkcji leków</w:t>
      </w:r>
      <w:r w:rsidRPr="00DE7B8E">
        <w:rPr>
          <w:lang w:val="pl-PL"/>
        </w:rPr>
        <w:t>.</w:t>
      </w:r>
    </w:p>
    <w:p w14:paraId="30415CB7" w14:textId="77777777" w:rsidR="00DE7B8E" w:rsidRPr="00DE7B8E" w:rsidRDefault="00DE7B8E" w:rsidP="00DE7B8E">
      <w:pPr>
        <w:rPr>
          <w:lang w:val="pl-PL"/>
        </w:rPr>
      </w:pPr>
    </w:p>
    <w:p w14:paraId="134DE26A" w14:textId="4A75C97F" w:rsidR="000C7DC0" w:rsidRPr="000C7DC0" w:rsidRDefault="00AC6A9B" w:rsidP="000C7DC0">
      <w:pPr>
        <w:rPr>
          <w:lang w:val="pl-PL"/>
        </w:rPr>
      </w:pPr>
      <w:r>
        <w:rPr>
          <w:lang w:val="pl-PL"/>
        </w:rPr>
        <w:t xml:space="preserve">Wytwarzanie </w:t>
      </w:r>
      <w:r w:rsidR="000C7DC0" w:rsidRPr="000C7DC0">
        <w:rPr>
          <w:lang w:val="pl-PL"/>
        </w:rPr>
        <w:t xml:space="preserve">nowych leków </w:t>
      </w:r>
      <w:r w:rsidR="000210D6">
        <w:rPr>
          <w:lang w:val="pl-PL"/>
        </w:rPr>
        <w:t xml:space="preserve">wykorzystuje najnowsze zdobycze </w:t>
      </w:r>
      <w:r w:rsidR="000C7DC0" w:rsidRPr="000C7DC0">
        <w:rPr>
          <w:lang w:val="pl-PL"/>
        </w:rPr>
        <w:t>technologi</w:t>
      </w:r>
      <w:r w:rsidR="000210D6">
        <w:rPr>
          <w:lang w:val="pl-PL"/>
        </w:rPr>
        <w:t>i</w:t>
      </w:r>
      <w:r>
        <w:rPr>
          <w:lang w:val="pl-PL"/>
        </w:rPr>
        <w:t xml:space="preserve"> produkcji</w:t>
      </w:r>
      <w:r w:rsidR="000C7DC0" w:rsidRPr="000C7DC0">
        <w:rPr>
          <w:lang w:val="pl-PL"/>
        </w:rPr>
        <w:t xml:space="preserve">, ale potrzebne są </w:t>
      </w:r>
      <w:r>
        <w:rPr>
          <w:lang w:val="pl-PL"/>
        </w:rPr>
        <w:t xml:space="preserve">kolejne </w:t>
      </w:r>
      <w:r w:rsidR="000C7DC0" w:rsidRPr="000C7DC0">
        <w:rPr>
          <w:lang w:val="pl-PL"/>
        </w:rPr>
        <w:t xml:space="preserve">innowacje. Dokument, którego współautorem są liderzy branży John </w:t>
      </w:r>
      <w:proofErr w:type="spellStart"/>
      <w:r w:rsidR="000C7DC0" w:rsidRPr="000C7DC0">
        <w:rPr>
          <w:lang w:val="pl-PL"/>
        </w:rPr>
        <w:t>Milne</w:t>
      </w:r>
      <w:proofErr w:type="spellEnd"/>
      <w:r w:rsidR="000C7DC0" w:rsidRPr="000C7DC0">
        <w:rPr>
          <w:lang w:val="pl-PL"/>
        </w:rPr>
        <w:t>, dyrektor ds. szkoleń</w:t>
      </w:r>
      <w:r w:rsidR="008D5838">
        <w:rPr>
          <w:lang w:val="pl-PL"/>
        </w:rPr>
        <w:t xml:space="preserve"> w </w:t>
      </w:r>
      <w:r w:rsidR="000C7DC0" w:rsidRPr="000C7DC0">
        <w:rPr>
          <w:lang w:val="pl-PL"/>
        </w:rPr>
        <w:t xml:space="preserve">National </w:t>
      </w:r>
      <w:proofErr w:type="spellStart"/>
      <w:r w:rsidR="000C7DC0" w:rsidRPr="000C7DC0">
        <w:rPr>
          <w:lang w:val="pl-PL"/>
        </w:rPr>
        <w:t>Institute</w:t>
      </w:r>
      <w:proofErr w:type="spellEnd"/>
      <w:r w:rsidR="000C7DC0" w:rsidRPr="000C7DC0">
        <w:rPr>
          <w:lang w:val="pl-PL"/>
        </w:rPr>
        <w:t xml:space="preserve"> for </w:t>
      </w:r>
      <w:proofErr w:type="spellStart"/>
      <w:r w:rsidR="000C7DC0" w:rsidRPr="000C7DC0">
        <w:rPr>
          <w:lang w:val="pl-PL"/>
        </w:rPr>
        <w:t>Bioprocessing</w:t>
      </w:r>
      <w:proofErr w:type="spellEnd"/>
      <w:r w:rsidR="000C7DC0" w:rsidRPr="000C7DC0">
        <w:rPr>
          <w:lang w:val="pl-PL"/>
        </w:rPr>
        <w:t xml:space="preserve"> </w:t>
      </w:r>
      <w:proofErr w:type="spellStart"/>
      <w:r w:rsidR="000C7DC0" w:rsidRPr="000C7DC0">
        <w:rPr>
          <w:lang w:val="pl-PL"/>
        </w:rPr>
        <w:t>Research</w:t>
      </w:r>
      <w:proofErr w:type="spellEnd"/>
      <w:r w:rsidR="000C7DC0" w:rsidRPr="000C7DC0">
        <w:rPr>
          <w:lang w:val="pl-PL"/>
        </w:rPr>
        <w:t xml:space="preserve"> and Training, Jim </w:t>
      </w:r>
      <w:proofErr w:type="spellStart"/>
      <w:r w:rsidR="000C7DC0" w:rsidRPr="000C7DC0">
        <w:rPr>
          <w:lang w:val="pl-PL"/>
        </w:rPr>
        <w:t>Marjeram</w:t>
      </w:r>
      <w:proofErr w:type="spellEnd"/>
      <w:r w:rsidR="000C7DC0" w:rsidRPr="000C7DC0">
        <w:rPr>
          <w:lang w:val="pl-PL"/>
        </w:rPr>
        <w:t>, dyrektor ds. technologii</w:t>
      </w:r>
      <w:r w:rsidR="008D5838">
        <w:rPr>
          <w:lang w:val="pl-PL"/>
        </w:rPr>
        <w:t xml:space="preserve"> w </w:t>
      </w:r>
      <w:r w:rsidR="000C7DC0" w:rsidRPr="000C7DC0">
        <w:rPr>
          <w:lang w:val="pl-PL"/>
        </w:rPr>
        <w:t>O'Hara Technologies oraz dr Chris Palmer, Tubing Product Manager</w:t>
      </w:r>
      <w:r w:rsidR="008D5838">
        <w:rPr>
          <w:lang w:val="pl-PL"/>
        </w:rPr>
        <w:t xml:space="preserve"> w </w:t>
      </w:r>
      <w:r>
        <w:rPr>
          <w:lang w:val="pl-PL"/>
        </w:rPr>
        <w:t xml:space="preserve">firmie </w:t>
      </w:r>
      <w:r w:rsidR="000C7DC0" w:rsidRPr="000C7DC0">
        <w:rPr>
          <w:lang w:val="pl-PL"/>
        </w:rPr>
        <w:t xml:space="preserve">WMFTG, omawia rozwój produkcji </w:t>
      </w:r>
      <w:r w:rsidR="000210D6" w:rsidRPr="000C7DC0">
        <w:rPr>
          <w:lang w:val="pl-PL"/>
        </w:rPr>
        <w:t>ciągłej</w:t>
      </w:r>
      <w:r w:rsidR="008D5838">
        <w:rPr>
          <w:lang w:val="pl-PL"/>
        </w:rPr>
        <w:t xml:space="preserve"> i </w:t>
      </w:r>
      <w:r w:rsidR="000C7DC0" w:rsidRPr="000C7DC0">
        <w:rPr>
          <w:lang w:val="pl-PL"/>
        </w:rPr>
        <w:t xml:space="preserve">jej wpływ na wytwarzanie leków. </w:t>
      </w:r>
    </w:p>
    <w:p w14:paraId="2DF3C02B" w14:textId="77777777" w:rsidR="000C7DC0" w:rsidRPr="000C7DC0" w:rsidRDefault="000C7DC0" w:rsidP="000C7DC0">
      <w:pPr>
        <w:rPr>
          <w:lang w:val="pl-PL"/>
        </w:rPr>
      </w:pPr>
    </w:p>
    <w:p w14:paraId="7B200C48" w14:textId="538D832D" w:rsidR="000C7DC0" w:rsidRPr="000C7DC0" w:rsidRDefault="000C7DC0" w:rsidP="000C7DC0">
      <w:pPr>
        <w:rPr>
          <w:lang w:val="pl-PL"/>
        </w:rPr>
      </w:pPr>
      <w:r w:rsidRPr="000C7DC0">
        <w:rPr>
          <w:lang w:val="pl-PL"/>
        </w:rPr>
        <w:t>"Produkcja ciągła nie jest now</w:t>
      </w:r>
      <w:r w:rsidR="000210D6">
        <w:rPr>
          <w:lang w:val="pl-PL"/>
        </w:rPr>
        <w:t>ym pomysłem</w:t>
      </w:r>
      <w:r w:rsidRPr="000C7DC0">
        <w:rPr>
          <w:lang w:val="pl-PL"/>
        </w:rPr>
        <w:t>"</w:t>
      </w:r>
      <w:r w:rsidR="009B1F92">
        <w:rPr>
          <w:lang w:val="pl-PL"/>
        </w:rPr>
        <w:t xml:space="preserve"> – </w:t>
      </w:r>
      <w:r w:rsidRPr="000C7DC0">
        <w:rPr>
          <w:lang w:val="pl-PL"/>
        </w:rPr>
        <w:t xml:space="preserve">komentuje Jim </w:t>
      </w:r>
      <w:proofErr w:type="spellStart"/>
      <w:r w:rsidRPr="000C7DC0">
        <w:rPr>
          <w:lang w:val="pl-PL"/>
        </w:rPr>
        <w:t>Marjeram</w:t>
      </w:r>
      <w:proofErr w:type="spellEnd"/>
      <w:r w:rsidRPr="000C7DC0">
        <w:rPr>
          <w:lang w:val="pl-PL"/>
        </w:rPr>
        <w:t>. "</w:t>
      </w:r>
      <w:r w:rsidR="000210D6">
        <w:rPr>
          <w:lang w:val="pl-PL"/>
        </w:rPr>
        <w:t>P</w:t>
      </w:r>
      <w:r w:rsidRPr="000C7DC0">
        <w:rPr>
          <w:lang w:val="pl-PL"/>
        </w:rPr>
        <w:t xml:space="preserve">rzemysł farmaceutyczny </w:t>
      </w:r>
      <w:r w:rsidR="000210D6">
        <w:rPr>
          <w:lang w:val="pl-PL"/>
        </w:rPr>
        <w:t xml:space="preserve">adaptował ją </w:t>
      </w:r>
      <w:r w:rsidRPr="000C7DC0">
        <w:rPr>
          <w:lang w:val="pl-PL"/>
        </w:rPr>
        <w:t xml:space="preserve">stosunkowo </w:t>
      </w:r>
      <w:r w:rsidR="000210D6">
        <w:rPr>
          <w:lang w:val="pl-PL"/>
        </w:rPr>
        <w:t>wolno, po części</w:t>
      </w:r>
      <w:r w:rsidR="008D5838">
        <w:rPr>
          <w:lang w:val="pl-PL"/>
        </w:rPr>
        <w:t xml:space="preserve"> z </w:t>
      </w:r>
      <w:r w:rsidRPr="000C7DC0">
        <w:rPr>
          <w:lang w:val="pl-PL"/>
        </w:rPr>
        <w:t xml:space="preserve">powodu obaw </w:t>
      </w:r>
      <w:r w:rsidR="000210D6">
        <w:rPr>
          <w:lang w:val="pl-PL"/>
        </w:rPr>
        <w:t xml:space="preserve">dotyczących możliwości </w:t>
      </w:r>
      <w:r w:rsidR="00AC6A9B">
        <w:rPr>
          <w:lang w:val="pl-PL"/>
        </w:rPr>
        <w:t xml:space="preserve">utrzymania </w:t>
      </w:r>
      <w:r w:rsidR="000210D6">
        <w:rPr>
          <w:lang w:val="pl-PL"/>
        </w:rPr>
        <w:t>zgodności</w:t>
      </w:r>
      <w:r w:rsidR="008D5838">
        <w:rPr>
          <w:lang w:val="pl-PL"/>
        </w:rPr>
        <w:t xml:space="preserve"> z </w:t>
      </w:r>
      <w:r w:rsidR="00AC6A9B">
        <w:rPr>
          <w:lang w:val="pl-PL"/>
        </w:rPr>
        <w:t>obowiązującymi normami</w:t>
      </w:r>
      <w:r w:rsidR="000210D6">
        <w:rPr>
          <w:lang w:val="pl-PL"/>
        </w:rPr>
        <w:t xml:space="preserve">. Jednak obecnie </w:t>
      </w:r>
      <w:r w:rsidR="008D5838" w:rsidRPr="000C7DC0">
        <w:rPr>
          <w:lang w:val="pl-PL"/>
        </w:rPr>
        <w:t>korzyści biznesowe płynące</w:t>
      </w:r>
      <w:r w:rsidR="008D5838">
        <w:rPr>
          <w:lang w:val="pl-PL"/>
        </w:rPr>
        <w:t xml:space="preserve"> z </w:t>
      </w:r>
      <w:r w:rsidR="008D5838" w:rsidRPr="000C7DC0">
        <w:rPr>
          <w:lang w:val="pl-PL"/>
        </w:rPr>
        <w:t>produkcji</w:t>
      </w:r>
      <w:r w:rsidR="008D5838" w:rsidRPr="000210D6">
        <w:rPr>
          <w:lang w:val="pl-PL"/>
        </w:rPr>
        <w:t xml:space="preserve"> </w:t>
      </w:r>
      <w:r w:rsidR="008D5838" w:rsidRPr="000C7DC0">
        <w:rPr>
          <w:lang w:val="pl-PL"/>
        </w:rPr>
        <w:t>ciągłej</w:t>
      </w:r>
      <w:r w:rsidR="008D5838" w:rsidRPr="000C7DC0">
        <w:rPr>
          <w:lang w:val="pl-PL"/>
        </w:rPr>
        <w:t xml:space="preserve"> </w:t>
      </w:r>
      <w:r w:rsidR="008D5838">
        <w:rPr>
          <w:lang w:val="pl-PL"/>
        </w:rPr>
        <w:t xml:space="preserve">są lepiej rozumiane w tej </w:t>
      </w:r>
      <w:r w:rsidRPr="000C7DC0">
        <w:rPr>
          <w:lang w:val="pl-PL"/>
        </w:rPr>
        <w:t>branży,</w:t>
      </w:r>
      <w:r w:rsidR="008D5838">
        <w:rPr>
          <w:lang w:val="pl-PL"/>
        </w:rPr>
        <w:t xml:space="preserve"> a </w:t>
      </w:r>
      <w:r w:rsidRPr="000C7DC0">
        <w:rPr>
          <w:lang w:val="pl-PL"/>
        </w:rPr>
        <w:t>nasze podejście zaczyna spotykać się</w:t>
      </w:r>
      <w:r w:rsidR="009B1F92">
        <w:rPr>
          <w:lang w:val="pl-PL"/>
        </w:rPr>
        <w:t xml:space="preserve"> z</w:t>
      </w:r>
      <w:r w:rsidR="008D5838">
        <w:rPr>
          <w:lang w:val="pl-PL"/>
        </w:rPr>
        <w:t>e zrozumieniem</w:t>
      </w:r>
      <w:r w:rsidRPr="000C7DC0">
        <w:rPr>
          <w:lang w:val="pl-PL"/>
        </w:rPr>
        <w:t>".</w:t>
      </w:r>
    </w:p>
    <w:p w14:paraId="17841E1F" w14:textId="77777777" w:rsidR="000C7DC0" w:rsidRPr="000C7DC0" w:rsidRDefault="000C7DC0" w:rsidP="000C7DC0">
      <w:pPr>
        <w:rPr>
          <w:lang w:val="pl-PL"/>
        </w:rPr>
      </w:pPr>
    </w:p>
    <w:p w14:paraId="42843765" w14:textId="2BF3C655" w:rsidR="000C7DC0" w:rsidRPr="000C7DC0" w:rsidRDefault="000C7DC0" w:rsidP="000C7DC0">
      <w:pPr>
        <w:rPr>
          <w:lang w:val="pl-PL"/>
        </w:rPr>
      </w:pPr>
      <w:r w:rsidRPr="000C7DC0">
        <w:rPr>
          <w:lang w:val="pl-PL"/>
        </w:rPr>
        <w:t xml:space="preserve">John </w:t>
      </w:r>
      <w:proofErr w:type="spellStart"/>
      <w:r w:rsidRPr="000C7DC0">
        <w:rPr>
          <w:lang w:val="pl-PL"/>
        </w:rPr>
        <w:t>Milne</w:t>
      </w:r>
      <w:proofErr w:type="spellEnd"/>
      <w:r w:rsidRPr="000C7DC0">
        <w:rPr>
          <w:lang w:val="pl-PL"/>
        </w:rPr>
        <w:t xml:space="preserve"> dodał: "</w:t>
      </w:r>
      <w:r w:rsidR="000210D6">
        <w:rPr>
          <w:lang w:val="pl-PL"/>
        </w:rPr>
        <w:t>W</w:t>
      </w:r>
      <w:r w:rsidR="000210D6" w:rsidRPr="000C7DC0">
        <w:rPr>
          <w:lang w:val="pl-PL"/>
        </w:rPr>
        <w:t xml:space="preserve">drożenie produkcji ciągłej </w:t>
      </w:r>
      <w:r w:rsidR="000210D6">
        <w:rPr>
          <w:lang w:val="pl-PL"/>
        </w:rPr>
        <w:t>wiąże się</w:t>
      </w:r>
      <w:r w:rsidR="008D5838">
        <w:rPr>
          <w:lang w:val="pl-PL"/>
        </w:rPr>
        <w:t xml:space="preserve"> z </w:t>
      </w:r>
      <w:r w:rsidR="000210D6">
        <w:rPr>
          <w:lang w:val="pl-PL"/>
        </w:rPr>
        <w:t xml:space="preserve">wieloma </w:t>
      </w:r>
      <w:r w:rsidRPr="000C7DC0">
        <w:rPr>
          <w:lang w:val="pl-PL"/>
        </w:rPr>
        <w:t>wyzwa</w:t>
      </w:r>
      <w:r w:rsidR="000210D6">
        <w:rPr>
          <w:lang w:val="pl-PL"/>
        </w:rPr>
        <w:t xml:space="preserve">niami </w:t>
      </w:r>
      <w:r w:rsidRPr="000C7DC0">
        <w:rPr>
          <w:lang w:val="pl-PL"/>
        </w:rPr>
        <w:t>inżynieryjny</w:t>
      </w:r>
      <w:r w:rsidR="000210D6">
        <w:rPr>
          <w:lang w:val="pl-PL"/>
        </w:rPr>
        <w:t>mi, jak np.</w:t>
      </w:r>
      <w:r w:rsidR="00AC6A9B">
        <w:rPr>
          <w:lang w:val="pl-PL"/>
        </w:rPr>
        <w:t xml:space="preserve"> </w:t>
      </w:r>
      <w:r w:rsidRPr="000C7DC0">
        <w:rPr>
          <w:lang w:val="pl-PL"/>
        </w:rPr>
        <w:t xml:space="preserve">integracja różnych </w:t>
      </w:r>
      <w:r w:rsidR="000210D6">
        <w:rPr>
          <w:lang w:val="pl-PL"/>
        </w:rPr>
        <w:t xml:space="preserve">procesów </w:t>
      </w:r>
      <w:r w:rsidRPr="000C7DC0">
        <w:rPr>
          <w:lang w:val="pl-PL"/>
        </w:rPr>
        <w:t xml:space="preserve">przetwarzania </w:t>
      </w:r>
      <w:r w:rsidR="000210D6">
        <w:rPr>
          <w:lang w:val="pl-PL"/>
        </w:rPr>
        <w:t xml:space="preserve">czy </w:t>
      </w:r>
      <w:r w:rsidRPr="000C7DC0">
        <w:rPr>
          <w:lang w:val="pl-PL"/>
        </w:rPr>
        <w:t>spełni</w:t>
      </w:r>
      <w:r w:rsidR="000210D6">
        <w:rPr>
          <w:lang w:val="pl-PL"/>
        </w:rPr>
        <w:t>a</w:t>
      </w:r>
      <w:r w:rsidRPr="000C7DC0">
        <w:rPr>
          <w:lang w:val="pl-PL"/>
        </w:rPr>
        <w:t xml:space="preserve">nie wymogów prawnych. Nie powinno to zniechęcać nas do </w:t>
      </w:r>
      <w:r w:rsidR="00AC6A9B">
        <w:rPr>
          <w:lang w:val="pl-PL"/>
        </w:rPr>
        <w:t xml:space="preserve">wdrażania </w:t>
      </w:r>
      <w:r w:rsidRPr="000C7DC0">
        <w:rPr>
          <w:lang w:val="pl-PL"/>
        </w:rPr>
        <w:t xml:space="preserve">nowych technik, </w:t>
      </w:r>
      <w:r w:rsidR="000210D6">
        <w:rPr>
          <w:lang w:val="pl-PL"/>
        </w:rPr>
        <w:t xml:space="preserve">lecz </w:t>
      </w:r>
      <w:r w:rsidR="00AC6A9B">
        <w:rPr>
          <w:lang w:val="pl-PL"/>
        </w:rPr>
        <w:t xml:space="preserve">wskazuje na konieczność </w:t>
      </w:r>
      <w:r w:rsidRPr="000C7DC0">
        <w:rPr>
          <w:lang w:val="pl-PL"/>
        </w:rPr>
        <w:t xml:space="preserve">starannego </w:t>
      </w:r>
      <w:r w:rsidR="008D5838">
        <w:rPr>
          <w:lang w:val="pl-PL"/>
        </w:rPr>
        <w:t xml:space="preserve">namysłu </w:t>
      </w:r>
      <w:r w:rsidR="000210D6">
        <w:rPr>
          <w:lang w:val="pl-PL"/>
        </w:rPr>
        <w:t xml:space="preserve">podczas </w:t>
      </w:r>
      <w:r w:rsidRPr="000C7DC0">
        <w:rPr>
          <w:lang w:val="pl-PL"/>
        </w:rPr>
        <w:t>projektowani</w:t>
      </w:r>
      <w:r w:rsidR="000210D6">
        <w:rPr>
          <w:lang w:val="pl-PL"/>
        </w:rPr>
        <w:t>a</w:t>
      </w:r>
      <w:r w:rsidR="008D5838">
        <w:rPr>
          <w:lang w:val="pl-PL"/>
        </w:rPr>
        <w:t xml:space="preserve"> i wyboru </w:t>
      </w:r>
      <w:r w:rsidRPr="000C7DC0">
        <w:rPr>
          <w:lang w:val="pl-PL"/>
        </w:rPr>
        <w:t xml:space="preserve">najlepszych wariantów poszczególnych procesów". </w:t>
      </w:r>
    </w:p>
    <w:p w14:paraId="654DF701" w14:textId="77777777" w:rsidR="000C7DC0" w:rsidRPr="000C7DC0" w:rsidRDefault="000C7DC0" w:rsidP="000C7DC0">
      <w:pPr>
        <w:rPr>
          <w:lang w:val="pl-PL"/>
        </w:rPr>
      </w:pPr>
    </w:p>
    <w:p w14:paraId="679C4B43" w14:textId="3CE7B11B" w:rsidR="00AA6D6D" w:rsidRDefault="000210D6" w:rsidP="000C7DC0">
      <w:pPr>
        <w:rPr>
          <w:lang w:val="pl-PL"/>
        </w:rPr>
      </w:pPr>
      <w:r>
        <w:rPr>
          <w:lang w:val="pl-PL"/>
        </w:rPr>
        <w:t xml:space="preserve">Więcej informacji na temat unikatowego spojrzenia tych ekspertów na temat </w:t>
      </w:r>
      <w:r w:rsidR="000C7DC0" w:rsidRPr="000C7DC0">
        <w:rPr>
          <w:lang w:val="pl-PL"/>
        </w:rPr>
        <w:t>produkcj</w:t>
      </w:r>
      <w:r>
        <w:rPr>
          <w:lang w:val="pl-PL"/>
        </w:rPr>
        <w:t xml:space="preserve">i </w:t>
      </w:r>
      <w:r w:rsidRPr="000C7DC0">
        <w:rPr>
          <w:lang w:val="pl-PL"/>
        </w:rPr>
        <w:t>ciągł</w:t>
      </w:r>
      <w:r>
        <w:rPr>
          <w:lang w:val="pl-PL"/>
        </w:rPr>
        <w:t>ej</w:t>
      </w:r>
      <w:r w:rsidR="008D5838">
        <w:rPr>
          <w:lang w:val="pl-PL"/>
        </w:rPr>
        <w:t xml:space="preserve"> w </w:t>
      </w:r>
      <w:r w:rsidR="000C7DC0" w:rsidRPr="000C7DC0">
        <w:rPr>
          <w:lang w:val="pl-PL"/>
        </w:rPr>
        <w:t>przemyśle farmaceutycznym</w:t>
      </w:r>
      <w:r>
        <w:rPr>
          <w:lang w:val="pl-PL"/>
        </w:rPr>
        <w:t xml:space="preserve"> można znaleźć</w:t>
      </w:r>
      <w:r w:rsidR="008D5838">
        <w:rPr>
          <w:lang w:val="pl-PL"/>
        </w:rPr>
        <w:t xml:space="preserve"> w </w:t>
      </w:r>
      <w:r w:rsidR="004C0798">
        <w:rPr>
          <w:lang w:val="pl-PL"/>
        </w:rPr>
        <w:t xml:space="preserve">materiale </w:t>
      </w:r>
      <w:r w:rsidR="00AC6A9B">
        <w:rPr>
          <w:lang w:val="pl-PL"/>
        </w:rPr>
        <w:t xml:space="preserve">opublikowanym </w:t>
      </w:r>
      <w:hyperlink r:id="rId6" w:history="1">
        <w:r w:rsidR="00AC6A9B" w:rsidRPr="00AC6A9B">
          <w:rPr>
            <w:rStyle w:val="Hipercze"/>
            <w:lang w:val="pl-PL"/>
          </w:rPr>
          <w:t>tu</w:t>
        </w:r>
        <w:bookmarkStart w:id="0" w:name="_GoBack"/>
        <w:bookmarkEnd w:id="0"/>
        <w:r w:rsidR="00AC6A9B" w:rsidRPr="00AC6A9B">
          <w:rPr>
            <w:rStyle w:val="Hipercze"/>
            <w:lang w:val="pl-PL"/>
          </w:rPr>
          <w:t>taj</w:t>
        </w:r>
      </w:hyperlink>
      <w:r w:rsidR="00AC6A9B">
        <w:rPr>
          <w:lang w:val="pl-PL"/>
        </w:rPr>
        <w:t xml:space="preserve"> (w</w:t>
      </w:r>
      <w:r w:rsidR="007D2680">
        <w:rPr>
          <w:lang w:val="pl-PL"/>
        </w:rPr>
        <w:t> </w:t>
      </w:r>
      <w:r w:rsidR="00AC6A9B">
        <w:rPr>
          <w:lang w:val="pl-PL"/>
        </w:rPr>
        <w:t>języku angielskim)</w:t>
      </w:r>
      <w:r w:rsidR="000C7DC0" w:rsidRPr="000C7DC0">
        <w:rPr>
          <w:lang w:val="pl-PL"/>
        </w:rPr>
        <w:t>.</w:t>
      </w:r>
    </w:p>
    <w:p w14:paraId="08171FFE" w14:textId="77777777" w:rsidR="000C7DC0" w:rsidRPr="000C7DC0" w:rsidRDefault="000C7DC0" w:rsidP="000C7DC0">
      <w:pPr>
        <w:rPr>
          <w:lang w:val="pl-PL"/>
        </w:rPr>
      </w:pPr>
    </w:p>
    <w:p w14:paraId="142142E3" w14:textId="77777777" w:rsidR="001F405F" w:rsidRDefault="001F405F" w:rsidP="001F405F">
      <w:pPr>
        <w:rPr>
          <w:b/>
        </w:rPr>
      </w:pPr>
      <w:r>
        <w:rPr>
          <w:b/>
        </w:rPr>
        <w:t>ENDS</w:t>
      </w:r>
    </w:p>
    <w:p w14:paraId="5B0FB024" w14:textId="77777777" w:rsidR="001F405F" w:rsidRDefault="001F405F" w:rsidP="001F405F">
      <w:pPr>
        <w:rPr>
          <w:b/>
        </w:rPr>
      </w:pPr>
    </w:p>
    <w:p w14:paraId="7A6DAED9" w14:textId="77777777" w:rsidR="00AC6A9B" w:rsidRPr="00AD3EAB" w:rsidRDefault="00AC6A9B" w:rsidP="008D5838">
      <w:pPr>
        <w:keepNext/>
        <w:rPr>
          <w:rFonts w:eastAsia="Times New Roman" w:cs="Verdana"/>
        </w:rPr>
      </w:pPr>
      <w:r w:rsidRPr="00AD3EAB">
        <w:lastRenderedPageBreak/>
        <w:t>DALSZYCH INFORMACJI UDZIELAJĄ: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00"/>
      </w:tblGrid>
      <w:tr w:rsidR="00AC6A9B" w:rsidRPr="006C3647" w14:paraId="4B9C9303" w14:textId="77777777" w:rsidTr="00F5088D">
        <w:tc>
          <w:tcPr>
            <w:tcW w:w="4583" w:type="dxa"/>
          </w:tcPr>
          <w:p w14:paraId="5CD9C42D" w14:textId="77777777" w:rsidR="00AC6A9B" w:rsidRPr="006C3647" w:rsidRDefault="00AC6A9B" w:rsidP="00F5088D">
            <w:pPr>
              <w:rPr>
                <w:rFonts w:eastAsia="Times New Roman" w:cs="Arial"/>
                <w:b/>
                <w:i/>
                <w:lang w:val="en-US" w:eastAsia="en-GB"/>
              </w:rPr>
            </w:pPr>
            <w:r w:rsidRPr="006C3647">
              <w:rPr>
                <w:rFonts w:eastAsia="Times New Roman" w:cs="Arial"/>
                <w:b/>
                <w:i/>
                <w:lang w:val="en-US" w:eastAsia="en-GB"/>
              </w:rPr>
              <w:t xml:space="preserve">Po </w:t>
            </w:r>
            <w:proofErr w:type="spellStart"/>
            <w:r w:rsidRPr="006C3647">
              <w:rPr>
                <w:rFonts w:eastAsia="Times New Roman" w:cs="Arial"/>
                <w:b/>
                <w:i/>
                <w:lang w:val="en-US" w:eastAsia="en-GB"/>
              </w:rPr>
              <w:t>stronie</w:t>
            </w:r>
            <w:proofErr w:type="spellEnd"/>
            <w:r w:rsidRPr="006C3647">
              <w:rPr>
                <w:rFonts w:eastAsia="Times New Roman" w:cs="Arial"/>
                <w:b/>
                <w:i/>
                <w:lang w:val="en-US" w:eastAsia="en-GB"/>
              </w:rPr>
              <w:t xml:space="preserve"> </w:t>
            </w:r>
            <w:proofErr w:type="spellStart"/>
            <w:r w:rsidRPr="006C3647">
              <w:rPr>
                <w:rFonts w:eastAsia="Times New Roman" w:cs="Arial"/>
                <w:b/>
                <w:i/>
                <w:lang w:val="en-US" w:eastAsia="en-GB"/>
              </w:rPr>
              <w:t>klienta</w:t>
            </w:r>
            <w:proofErr w:type="spellEnd"/>
            <w:r w:rsidRPr="006C3647">
              <w:rPr>
                <w:rFonts w:eastAsia="Times New Roman" w:cs="Arial"/>
                <w:b/>
                <w:i/>
                <w:lang w:val="en-US" w:eastAsia="en-GB"/>
              </w:rPr>
              <w:t xml:space="preserve">: </w:t>
            </w:r>
          </w:p>
          <w:p w14:paraId="2947CA3E" w14:textId="77777777" w:rsidR="00AC6A9B" w:rsidRPr="006C3647" w:rsidRDefault="00AC6A9B" w:rsidP="00F5088D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6C3647">
              <w:rPr>
                <w:rFonts w:cs="Arial"/>
                <w:lang w:val="en-US"/>
              </w:rPr>
              <w:t>Joanne Lucas</w:t>
            </w:r>
          </w:p>
          <w:p w14:paraId="42266279" w14:textId="77777777" w:rsidR="00AC6A9B" w:rsidRPr="006C3647" w:rsidRDefault="00AC6A9B" w:rsidP="00F5088D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6C3647">
              <w:rPr>
                <w:rFonts w:cs="Arial"/>
                <w:lang w:val="en-US"/>
              </w:rPr>
              <w:t>Group Marketing PR Coordinator</w:t>
            </w:r>
          </w:p>
          <w:p w14:paraId="559C8D67" w14:textId="77777777" w:rsidR="00AC6A9B" w:rsidRPr="006C3647" w:rsidRDefault="004C0798" w:rsidP="00F5088D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hyperlink r:id="rId7" w:history="1">
              <w:r w:rsidR="00AC6A9B" w:rsidRPr="006C3647">
                <w:rPr>
                  <w:rFonts w:cs="Arial"/>
                  <w:u w:val="single" w:color="0B4CB4"/>
                  <w:lang w:val="en-US"/>
                </w:rPr>
                <w:t>joanne.lucas@wmftg.com</w:t>
              </w:r>
            </w:hyperlink>
          </w:p>
          <w:p w14:paraId="71E99343" w14:textId="77777777" w:rsidR="00AC6A9B" w:rsidRPr="006C3647" w:rsidRDefault="00AC6A9B" w:rsidP="00F5088D">
            <w:pPr>
              <w:rPr>
                <w:rFonts w:eastAsia="Times New Roman" w:cs="Arial"/>
                <w:lang w:val="en-US" w:eastAsia="en-GB"/>
              </w:rPr>
            </w:pPr>
            <w:r w:rsidRPr="006C3647">
              <w:rPr>
                <w:rFonts w:cs="Arial"/>
                <w:lang w:val="en-US"/>
              </w:rPr>
              <w:t>tel. +44 (0) 1326 370 214</w:t>
            </w:r>
            <w:r w:rsidRPr="006C3647">
              <w:rPr>
                <w:rFonts w:eastAsia="Times New Roman" w:cs="Arial"/>
                <w:lang w:val="en-US" w:eastAsia="en-GB"/>
              </w:rPr>
              <w:t xml:space="preserve"> </w:t>
            </w:r>
          </w:p>
        </w:tc>
        <w:tc>
          <w:tcPr>
            <w:tcW w:w="4583" w:type="dxa"/>
          </w:tcPr>
          <w:p w14:paraId="28C3724B" w14:textId="77777777" w:rsidR="00AC6A9B" w:rsidRPr="00E50E4C" w:rsidRDefault="00AC6A9B" w:rsidP="00F5088D">
            <w:pPr>
              <w:keepNext/>
              <w:keepLines/>
              <w:rPr>
                <w:rFonts w:eastAsia="Times New Roman" w:cs="Arial"/>
                <w:b/>
                <w:i/>
                <w:lang w:eastAsia="en-GB"/>
              </w:rPr>
            </w:pPr>
            <w:r w:rsidRPr="00E50E4C">
              <w:rPr>
                <w:rFonts w:eastAsia="Times New Roman" w:cs="Arial"/>
                <w:b/>
                <w:i/>
                <w:lang w:eastAsia="en-GB"/>
              </w:rPr>
              <w:t>Po stronie agencji:</w:t>
            </w:r>
          </w:p>
          <w:p w14:paraId="6D0471F2" w14:textId="77777777" w:rsidR="00AC6A9B" w:rsidRPr="00E50E4C" w:rsidRDefault="00AC6A9B" w:rsidP="00F5088D">
            <w:pPr>
              <w:keepNext/>
              <w:keepLines/>
              <w:rPr>
                <w:rFonts w:eastAsia="Times New Roman" w:cs="Arial"/>
                <w:lang w:eastAsia="en-GB"/>
              </w:rPr>
            </w:pPr>
            <w:r w:rsidRPr="00E50E4C">
              <w:rPr>
                <w:rFonts w:eastAsia="Times New Roman" w:cs="Arial"/>
                <w:lang w:eastAsia="en-GB"/>
              </w:rPr>
              <w:t>Jan Stożek</w:t>
            </w:r>
          </w:p>
          <w:p w14:paraId="5E9454C9" w14:textId="749FE046" w:rsidR="00AC6A9B" w:rsidRPr="00E50E4C" w:rsidRDefault="00AC6A9B" w:rsidP="00F5088D">
            <w:pPr>
              <w:keepNext/>
              <w:keepLines/>
              <w:rPr>
                <w:rFonts w:eastAsia="Times New Roman" w:cs="Arial"/>
                <w:lang w:eastAsia="en-GB"/>
              </w:rPr>
            </w:pPr>
            <w:r w:rsidRPr="00E50E4C">
              <w:rPr>
                <w:rFonts w:eastAsia="Times New Roman" w:cs="Arial"/>
                <w:lang w:eastAsia="en-GB"/>
              </w:rPr>
              <w:t>Solski Communications sp.</w:t>
            </w:r>
            <w:r w:rsidR="008D5838">
              <w:rPr>
                <w:rFonts w:eastAsia="Times New Roman" w:cs="Arial"/>
                <w:lang w:eastAsia="en-GB"/>
              </w:rPr>
              <w:t xml:space="preserve"> z </w:t>
            </w:r>
            <w:r w:rsidRPr="00E50E4C">
              <w:rPr>
                <w:rFonts w:eastAsia="Times New Roman" w:cs="Arial"/>
                <w:lang w:eastAsia="en-GB"/>
              </w:rPr>
              <w:t>o.o.</w:t>
            </w:r>
          </w:p>
          <w:p w14:paraId="7B85973B" w14:textId="77777777" w:rsidR="00AC6A9B" w:rsidRPr="006C3647" w:rsidRDefault="004C0798" w:rsidP="00F5088D">
            <w:pPr>
              <w:keepNext/>
              <w:keepLines/>
              <w:rPr>
                <w:rFonts w:eastAsia="Times New Roman" w:cs="Arial"/>
                <w:lang w:val="en-US" w:eastAsia="en-GB"/>
              </w:rPr>
            </w:pPr>
            <w:hyperlink r:id="rId8" w:history="1">
              <w:r w:rsidR="00AC6A9B" w:rsidRPr="006C3647">
                <w:rPr>
                  <w:rStyle w:val="Hipercze"/>
                  <w:rFonts w:cs="Arial"/>
                  <w:lang w:val="en-US"/>
                </w:rPr>
                <w:t>www.solskipr.pl</w:t>
              </w:r>
            </w:hyperlink>
            <w:r w:rsidR="00AC6A9B" w:rsidRPr="006C3647">
              <w:rPr>
                <w:rFonts w:eastAsia="Times New Roman" w:cs="Arial"/>
                <w:lang w:val="en-US" w:eastAsia="en-GB"/>
              </w:rPr>
              <w:t xml:space="preserve"> </w:t>
            </w:r>
          </w:p>
          <w:p w14:paraId="4F07A812" w14:textId="77777777" w:rsidR="00AC6A9B" w:rsidRPr="006C3647" w:rsidRDefault="00AC6A9B" w:rsidP="00F5088D">
            <w:pPr>
              <w:keepNext/>
              <w:keepLines/>
              <w:rPr>
                <w:rFonts w:eastAsia="Times New Roman" w:cs="Arial"/>
                <w:lang w:val="en-US" w:eastAsia="en-GB"/>
              </w:rPr>
            </w:pPr>
            <w:r w:rsidRPr="006C3647">
              <w:rPr>
                <w:rFonts w:eastAsia="Times New Roman" w:cs="Arial"/>
                <w:lang w:val="en-US" w:eastAsia="en-GB"/>
              </w:rPr>
              <w:t>Tel: +48 602 15 15 89</w:t>
            </w:r>
          </w:p>
          <w:p w14:paraId="73C79B45" w14:textId="77777777" w:rsidR="00AC6A9B" w:rsidRPr="006C3647" w:rsidRDefault="00AC6A9B" w:rsidP="00F5088D">
            <w:pPr>
              <w:keepNext/>
              <w:keepLines/>
              <w:rPr>
                <w:rFonts w:cs="Arial"/>
                <w:lang w:val="en-US"/>
              </w:rPr>
            </w:pPr>
            <w:r w:rsidRPr="006C3647">
              <w:rPr>
                <w:rFonts w:eastAsia="Times New Roman" w:cs="Arial"/>
                <w:lang w:val="en-US" w:eastAsia="en-GB"/>
              </w:rPr>
              <w:t xml:space="preserve">email: </w:t>
            </w:r>
            <w:hyperlink r:id="rId9" w:history="1">
              <w:r w:rsidRPr="006C3647">
                <w:rPr>
                  <w:rStyle w:val="Hipercze"/>
                  <w:rFonts w:cs="Arial"/>
                  <w:lang w:val="en-US"/>
                </w:rPr>
                <w:t>jstozek@solskipr.pl</w:t>
              </w:r>
            </w:hyperlink>
            <w:r w:rsidRPr="006C3647">
              <w:rPr>
                <w:rFonts w:cs="Arial"/>
                <w:lang w:val="en-US"/>
              </w:rPr>
              <w:t xml:space="preserve"> </w:t>
            </w:r>
          </w:p>
        </w:tc>
      </w:tr>
    </w:tbl>
    <w:p w14:paraId="50C0B820" w14:textId="77777777" w:rsidR="00AC6A9B" w:rsidRPr="00AD3EAB" w:rsidRDefault="00AC6A9B" w:rsidP="00AC6A9B">
      <w:pPr>
        <w:rPr>
          <w:rFonts w:ascii="Arial" w:eastAsia="Times New Roman" w:hAnsi="Arial" w:cs="Times New Roman"/>
          <w:lang w:val="de-DE" w:eastAsia="en-GB"/>
        </w:rPr>
      </w:pPr>
    </w:p>
    <w:p w14:paraId="0C647BE5" w14:textId="2DC038E9" w:rsidR="00AC6A9B" w:rsidRPr="00AD3EAB" w:rsidRDefault="00AC6A9B" w:rsidP="00AC6A9B">
      <w:pPr>
        <w:rPr>
          <w:rFonts w:eastAsia="Times New Roman" w:cstheme="minorHAnsi"/>
          <w:b/>
          <w:color w:val="262626"/>
        </w:rPr>
      </w:pPr>
      <w:r w:rsidRPr="00AD3EAB">
        <w:rPr>
          <w:b/>
          <w:color w:val="262626"/>
        </w:rPr>
        <w:t>UWAGI REDAKCYJNE / INFORMACJE</w:t>
      </w:r>
      <w:r w:rsidR="008D5838">
        <w:rPr>
          <w:b/>
          <w:color w:val="262626"/>
        </w:rPr>
        <w:t xml:space="preserve"> O </w:t>
      </w:r>
      <w:r w:rsidRPr="00AD3EAB">
        <w:rPr>
          <w:b/>
          <w:color w:val="262626"/>
        </w:rPr>
        <w:t>FIRMIE</w:t>
      </w:r>
    </w:p>
    <w:p w14:paraId="05F1B29F" w14:textId="25E0C71B" w:rsidR="00AC6A9B" w:rsidRPr="00E50E4C" w:rsidRDefault="00AC6A9B" w:rsidP="00AC6A9B">
      <w:pPr>
        <w:keepNext/>
        <w:autoSpaceDE w:val="0"/>
        <w:autoSpaceDN w:val="0"/>
        <w:adjustRightInd w:val="0"/>
        <w:rPr>
          <w:rStyle w:val="comment-text1"/>
          <w:rFonts w:eastAsiaTheme="minorEastAsia"/>
          <w:color w:val="222222"/>
        </w:rPr>
      </w:pPr>
      <w:r w:rsidRPr="00E50E4C">
        <w:rPr>
          <w:rStyle w:val="comment-text1"/>
          <w:rFonts w:eastAsiaTheme="minorEastAsia"/>
          <w:color w:val="222222"/>
          <w:specVanish w:val="0"/>
        </w:rPr>
        <w:t xml:space="preserve">Watson-Marlow Fluid Technology Group (WMFTG) jest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światowym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liderem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wśród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producentów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pomp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perystaltycznych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oraz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technologii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przepływu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płynów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>.</w:t>
      </w:r>
      <w:r w:rsidR="008D5838">
        <w:rPr>
          <w:rStyle w:val="comment-text1"/>
          <w:rFonts w:eastAsiaTheme="minorEastAsia"/>
          <w:color w:val="222222"/>
        </w:rPr>
        <w:t xml:space="preserve"> W 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skład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Grupy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wchodzi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dziesięć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uznanych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marek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>,</w:t>
      </w:r>
      <w:r w:rsidR="008D5838">
        <w:rPr>
          <w:rStyle w:val="comment-text1"/>
          <w:rFonts w:eastAsiaTheme="minorEastAsia"/>
          <w:color w:val="222222"/>
        </w:rPr>
        <w:t xml:space="preserve"> z 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których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każda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specjalizuje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się</w:t>
      </w:r>
      <w:proofErr w:type="spellEnd"/>
      <w:r w:rsidR="008D5838">
        <w:rPr>
          <w:rStyle w:val="comment-text1"/>
          <w:rFonts w:eastAsiaTheme="minorEastAsia"/>
          <w:color w:val="222222"/>
        </w:rPr>
        <w:t xml:space="preserve"> w 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innej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dziedzinie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.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Łącznie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dostarczają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one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czołowe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rozwiązania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techniczne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dla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przemysłu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spożywczego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,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farmaceutycznego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,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chemicznego</w:t>
      </w:r>
      <w:proofErr w:type="spellEnd"/>
      <w:r w:rsidR="008D5838">
        <w:rPr>
          <w:rStyle w:val="comment-text1"/>
          <w:rFonts w:eastAsiaTheme="minorEastAsia"/>
          <w:color w:val="222222"/>
        </w:rPr>
        <w:t xml:space="preserve"> </w:t>
      </w:r>
      <w:proofErr w:type="spellStart"/>
      <w:r w:rsidR="008D5838">
        <w:rPr>
          <w:rStyle w:val="comment-text1"/>
          <w:rFonts w:eastAsiaTheme="minorEastAsia"/>
          <w:color w:val="222222"/>
        </w:rPr>
        <w:t>i</w:t>
      </w:r>
      <w:proofErr w:type="spellEnd"/>
      <w:r w:rsidR="008D5838">
        <w:rPr>
          <w:rStyle w:val="comment-text1"/>
          <w:rFonts w:eastAsiaTheme="minorEastAsia"/>
          <w:color w:val="222222"/>
        </w:rPr>
        <w:t> 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ochrony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środowiska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. </w:t>
      </w:r>
    </w:p>
    <w:p w14:paraId="245E3A9B" w14:textId="77777777" w:rsidR="00AC6A9B" w:rsidRPr="00E50E4C" w:rsidRDefault="00AC6A9B" w:rsidP="00AC6A9B">
      <w:pPr>
        <w:keepNext/>
        <w:autoSpaceDE w:val="0"/>
        <w:autoSpaceDN w:val="0"/>
        <w:adjustRightInd w:val="0"/>
        <w:rPr>
          <w:rStyle w:val="comment-text1"/>
          <w:rFonts w:eastAsiaTheme="minorEastAsia"/>
          <w:color w:val="222222"/>
        </w:rPr>
      </w:pPr>
    </w:p>
    <w:p w14:paraId="4DFB12AA" w14:textId="17C8AEDB" w:rsidR="00AC6A9B" w:rsidRPr="00E50E4C" w:rsidRDefault="00AC6A9B" w:rsidP="00AC6A9B">
      <w:pPr>
        <w:keepNext/>
        <w:autoSpaceDE w:val="0"/>
        <w:autoSpaceDN w:val="0"/>
        <w:adjustRightInd w:val="0"/>
        <w:rPr>
          <w:rStyle w:val="comment-text1"/>
          <w:rFonts w:eastAsiaTheme="minorEastAsia"/>
          <w:color w:val="222222"/>
        </w:rPr>
      </w:pPr>
      <w:r w:rsidRPr="00E50E4C">
        <w:rPr>
          <w:rStyle w:val="comment-text1"/>
          <w:rFonts w:eastAsiaTheme="minorEastAsia"/>
          <w:color w:val="222222"/>
          <w:specVanish w:val="0"/>
        </w:rPr>
        <w:t xml:space="preserve">WMFTG jest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firmą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zależną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spółki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hyperlink r:id="rId10" w:history="1">
        <w:proofErr w:type="spellStart"/>
        <w:r w:rsidRPr="00E50E4C">
          <w:rPr>
            <w:rStyle w:val="Hipercze"/>
            <w:rFonts w:eastAsiaTheme="minorEastAsia"/>
          </w:rPr>
          <w:t>Spirax-Sarco</w:t>
        </w:r>
        <w:proofErr w:type="spellEnd"/>
        <w:r w:rsidRPr="00E50E4C">
          <w:rPr>
            <w:rStyle w:val="Hipercze"/>
            <w:rFonts w:eastAsiaTheme="minorEastAsia"/>
          </w:rPr>
          <w:t xml:space="preserve"> Engineering plc</w:t>
        </w:r>
      </w:hyperlink>
      <w:r w:rsidRPr="00E50E4C">
        <w:rPr>
          <w:rStyle w:val="comment-text1"/>
          <w:rFonts w:eastAsiaTheme="minorEastAsia"/>
          <w:color w:val="222222"/>
          <w:specVanish w:val="0"/>
        </w:rPr>
        <w:t xml:space="preserve">,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międzynarodowej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organizacji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zatrudniającej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7900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pracowników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>,</w:t>
      </w:r>
      <w:r w:rsidR="008D5838">
        <w:rPr>
          <w:rStyle w:val="comment-text1"/>
          <w:rFonts w:eastAsiaTheme="minorEastAsia"/>
          <w:color w:val="222222"/>
        </w:rPr>
        <w:t xml:space="preserve"> z 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których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ponad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1600 jest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inżynierami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sprzedaży</w:t>
      </w:r>
      <w:proofErr w:type="spellEnd"/>
      <w:r w:rsidR="008D5838">
        <w:rPr>
          <w:rStyle w:val="comment-text1"/>
          <w:rFonts w:eastAsiaTheme="minorEastAsia"/>
          <w:color w:val="222222"/>
        </w:rPr>
        <w:t xml:space="preserve"> </w:t>
      </w:r>
      <w:proofErr w:type="spellStart"/>
      <w:r w:rsidR="008D5838">
        <w:rPr>
          <w:rStyle w:val="comment-text1"/>
          <w:rFonts w:eastAsiaTheme="minorEastAsia"/>
          <w:color w:val="222222"/>
        </w:rPr>
        <w:t>i</w:t>
      </w:r>
      <w:proofErr w:type="spellEnd"/>
      <w:r w:rsidR="008D5838">
        <w:rPr>
          <w:rStyle w:val="comment-text1"/>
          <w:rFonts w:eastAsiaTheme="minorEastAsia"/>
          <w:color w:val="222222"/>
        </w:rPr>
        <w:t> 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serwisu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. Od 1959 r.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jej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akcje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są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notowane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na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londyńskiej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giełdzie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LSE,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wchodzi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też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ona</w:t>
      </w:r>
      <w:proofErr w:type="spellEnd"/>
      <w:r w:rsidR="008D5838">
        <w:rPr>
          <w:rStyle w:val="comment-text1"/>
          <w:rFonts w:eastAsiaTheme="minorEastAsia"/>
          <w:color w:val="222222"/>
        </w:rPr>
        <w:t xml:space="preserve"> w 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skład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</w:t>
      </w:r>
      <w:proofErr w:type="spellStart"/>
      <w:r w:rsidRPr="00E50E4C">
        <w:rPr>
          <w:rStyle w:val="comment-text1"/>
          <w:rFonts w:eastAsiaTheme="minorEastAsia"/>
          <w:color w:val="222222"/>
          <w:specVanish w:val="0"/>
        </w:rPr>
        <w:t>indeksu</w:t>
      </w:r>
      <w:proofErr w:type="spellEnd"/>
      <w:r w:rsidRPr="00E50E4C">
        <w:rPr>
          <w:rStyle w:val="comment-text1"/>
          <w:rFonts w:eastAsiaTheme="minorEastAsia"/>
          <w:color w:val="222222"/>
          <w:specVanish w:val="0"/>
        </w:rPr>
        <w:t xml:space="preserve"> FTSE 100. </w:t>
      </w:r>
    </w:p>
    <w:p w14:paraId="3407F31A" w14:textId="77777777" w:rsidR="00AC6A9B" w:rsidRPr="00AD3EAB" w:rsidRDefault="00AC6A9B" w:rsidP="00AC6A9B">
      <w:pPr>
        <w:rPr>
          <w:rFonts w:eastAsia="Times New Roman" w:cstheme="minorHAnsi"/>
        </w:rPr>
      </w:pPr>
    </w:p>
    <w:p w14:paraId="30060323" w14:textId="4FDF28D8" w:rsidR="00AC6A9B" w:rsidRDefault="00AC6A9B" w:rsidP="00AC6A9B">
      <w:r w:rsidRPr="00AD3EAB">
        <w:t xml:space="preserve">WMFTG ma </w:t>
      </w:r>
      <w:proofErr w:type="spellStart"/>
      <w:r w:rsidRPr="00AD3EAB">
        <w:t>siedzibę</w:t>
      </w:r>
      <w:proofErr w:type="spellEnd"/>
      <w:r w:rsidR="008D5838">
        <w:t xml:space="preserve"> w </w:t>
      </w:r>
      <w:r w:rsidRPr="00AD3EAB">
        <w:t>Falmouth</w:t>
      </w:r>
      <w:r w:rsidR="008D5838">
        <w:t xml:space="preserve"> w </w:t>
      </w:r>
      <w:proofErr w:type="spellStart"/>
      <w:r w:rsidRPr="00AD3EAB">
        <w:t>Wielkiej</w:t>
      </w:r>
      <w:proofErr w:type="spellEnd"/>
      <w:r w:rsidRPr="00AD3EAB">
        <w:t xml:space="preserve"> </w:t>
      </w:r>
      <w:proofErr w:type="spellStart"/>
      <w:r w:rsidRPr="00AD3EAB">
        <w:t>Brytanii</w:t>
      </w:r>
      <w:proofErr w:type="spellEnd"/>
      <w:r w:rsidR="008D5838">
        <w:t xml:space="preserve"> </w:t>
      </w:r>
      <w:proofErr w:type="spellStart"/>
      <w:r w:rsidR="008D5838">
        <w:t>i</w:t>
      </w:r>
      <w:proofErr w:type="spellEnd"/>
      <w:r w:rsidR="008D5838">
        <w:t> </w:t>
      </w:r>
      <w:proofErr w:type="spellStart"/>
      <w:r w:rsidRPr="00AD3EAB">
        <w:t>przedstawicielstwa</w:t>
      </w:r>
      <w:proofErr w:type="spellEnd"/>
      <w:r w:rsidR="008D5838">
        <w:t xml:space="preserve"> w </w:t>
      </w:r>
      <w:r w:rsidRPr="00AD3EAB">
        <w:t>34 </w:t>
      </w:r>
      <w:proofErr w:type="spellStart"/>
      <w:r w:rsidRPr="00AD3EAB">
        <w:t>krajach</w:t>
      </w:r>
      <w:proofErr w:type="spellEnd"/>
      <w:r w:rsidRPr="00AD3EAB">
        <w:t xml:space="preserve">. </w:t>
      </w:r>
    </w:p>
    <w:p w14:paraId="71B3359F" w14:textId="77777777" w:rsidR="00AC6A9B" w:rsidRPr="00AD3EAB" w:rsidRDefault="00AC6A9B" w:rsidP="00AC6A9B">
      <w:pPr>
        <w:rPr>
          <w:rFonts w:cstheme="minorHAnsi"/>
          <w:i/>
          <w:color w:val="222222"/>
          <w:shd w:val="clear" w:color="auto" w:fill="FFFFFF"/>
        </w:rPr>
      </w:pPr>
      <w:proofErr w:type="spellStart"/>
      <w:r w:rsidRPr="00AD3EAB">
        <w:rPr>
          <w:i/>
          <w:color w:val="222222"/>
          <w:shd w:val="clear" w:color="auto" w:fill="FFFFFF"/>
        </w:rPr>
        <w:t>Firma</w:t>
      </w:r>
      <w:proofErr w:type="spellEnd"/>
      <w:r w:rsidRPr="00AD3EAB">
        <w:rPr>
          <w:i/>
          <w:color w:val="222222"/>
          <w:shd w:val="clear" w:color="auto" w:fill="FFFFFF"/>
        </w:rPr>
        <w:t xml:space="preserve"> Watson-Marlow Limited </w:t>
      </w:r>
      <w:proofErr w:type="spellStart"/>
      <w:r w:rsidRPr="00AD3EAB">
        <w:rPr>
          <w:i/>
          <w:color w:val="222222"/>
          <w:shd w:val="clear" w:color="auto" w:fill="FFFFFF"/>
        </w:rPr>
        <w:t>uhonorowana</w:t>
      </w:r>
      <w:proofErr w:type="spellEnd"/>
      <w:r w:rsidRPr="00AD3EAB">
        <w:rPr>
          <w:i/>
          <w:color w:val="222222"/>
          <w:shd w:val="clear" w:color="auto" w:fill="FFFFFF"/>
        </w:rPr>
        <w:t xml:space="preserve"> </w:t>
      </w:r>
      <w:proofErr w:type="spellStart"/>
      <w:r w:rsidRPr="00AD3EAB">
        <w:rPr>
          <w:i/>
          <w:color w:val="222222"/>
          <w:shd w:val="clear" w:color="auto" w:fill="FFFFFF"/>
        </w:rPr>
        <w:t>została</w:t>
      </w:r>
      <w:proofErr w:type="spellEnd"/>
      <w:r w:rsidRPr="00AD3EAB">
        <w:rPr>
          <w:i/>
          <w:color w:val="222222"/>
          <w:shd w:val="clear" w:color="auto" w:fill="FFFFFF"/>
        </w:rPr>
        <w:t xml:space="preserve"> </w:t>
      </w:r>
      <w:proofErr w:type="spellStart"/>
      <w:r w:rsidRPr="00AD3EAB">
        <w:rPr>
          <w:i/>
          <w:color w:val="222222"/>
          <w:shd w:val="clear" w:color="auto" w:fill="FFFFFF"/>
        </w:rPr>
        <w:t>nagrodą</w:t>
      </w:r>
      <w:proofErr w:type="spellEnd"/>
      <w:r w:rsidRPr="00AD3EAB">
        <w:rPr>
          <w:i/>
          <w:color w:val="222222"/>
          <w:shd w:val="clear" w:color="auto" w:fill="FFFFFF"/>
        </w:rPr>
        <w:t xml:space="preserve"> Queen’s Award for Enterprise: International Trade 2017 </w:t>
      </w:r>
      <w:proofErr w:type="spellStart"/>
      <w:r w:rsidRPr="00AD3EAB">
        <w:rPr>
          <w:i/>
          <w:color w:val="222222"/>
          <w:shd w:val="clear" w:color="auto" w:fill="FFFFFF"/>
        </w:rPr>
        <w:t>oraz</w:t>
      </w:r>
      <w:proofErr w:type="spellEnd"/>
      <w:r w:rsidRPr="00AD3EAB">
        <w:rPr>
          <w:i/>
          <w:color w:val="222222"/>
          <w:shd w:val="clear" w:color="auto" w:fill="FFFFFF"/>
        </w:rPr>
        <w:t xml:space="preserve"> Innovation 2018 (</w:t>
      </w:r>
      <w:proofErr w:type="spellStart"/>
      <w:r w:rsidRPr="00AD3EAB">
        <w:rPr>
          <w:i/>
          <w:color w:val="222222"/>
          <w:shd w:val="clear" w:color="auto" w:fill="FFFFFF"/>
        </w:rPr>
        <w:t>Nagroda</w:t>
      </w:r>
      <w:proofErr w:type="spellEnd"/>
      <w:r w:rsidRPr="00AD3EAB">
        <w:rPr>
          <w:i/>
          <w:color w:val="222222"/>
          <w:shd w:val="clear" w:color="auto" w:fill="FFFFFF"/>
        </w:rPr>
        <w:t xml:space="preserve"> </w:t>
      </w:r>
      <w:proofErr w:type="spellStart"/>
      <w:r w:rsidRPr="00AD3EAB">
        <w:rPr>
          <w:i/>
          <w:color w:val="222222"/>
          <w:shd w:val="clear" w:color="auto" w:fill="FFFFFF"/>
        </w:rPr>
        <w:t>Królowej</w:t>
      </w:r>
      <w:proofErr w:type="spellEnd"/>
      <w:r w:rsidRPr="00AD3EAB">
        <w:rPr>
          <w:i/>
          <w:color w:val="222222"/>
          <w:shd w:val="clear" w:color="auto" w:fill="FFFFFF"/>
        </w:rPr>
        <w:t xml:space="preserve"> za </w:t>
      </w:r>
      <w:proofErr w:type="spellStart"/>
      <w:r w:rsidRPr="00AD3EAB">
        <w:rPr>
          <w:i/>
          <w:color w:val="222222"/>
          <w:shd w:val="clear" w:color="auto" w:fill="FFFFFF"/>
        </w:rPr>
        <w:t>Przedsiębiorczość</w:t>
      </w:r>
      <w:proofErr w:type="spellEnd"/>
      <w:r w:rsidRPr="00AD3EAB">
        <w:rPr>
          <w:i/>
          <w:color w:val="222222"/>
          <w:shd w:val="clear" w:color="auto" w:fill="FFFFFF"/>
        </w:rPr>
        <w:t xml:space="preserve">: Handel </w:t>
      </w:r>
      <w:proofErr w:type="spellStart"/>
      <w:r w:rsidRPr="00AD3EAB">
        <w:rPr>
          <w:i/>
          <w:color w:val="222222"/>
          <w:shd w:val="clear" w:color="auto" w:fill="FFFFFF"/>
        </w:rPr>
        <w:t>Międzynarodowy</w:t>
      </w:r>
      <w:proofErr w:type="spellEnd"/>
      <w:r w:rsidRPr="00AD3EAB">
        <w:rPr>
          <w:i/>
          <w:color w:val="222222"/>
          <w:shd w:val="clear" w:color="auto" w:fill="FFFFFF"/>
        </w:rPr>
        <w:t xml:space="preserve"> 2017 </w:t>
      </w:r>
      <w:proofErr w:type="spellStart"/>
      <w:r w:rsidRPr="00AD3EAB">
        <w:rPr>
          <w:i/>
          <w:color w:val="222222"/>
          <w:shd w:val="clear" w:color="auto" w:fill="FFFFFF"/>
        </w:rPr>
        <w:t>oraz</w:t>
      </w:r>
      <w:proofErr w:type="spellEnd"/>
      <w:r w:rsidRPr="00AD3EAB">
        <w:rPr>
          <w:i/>
          <w:color w:val="222222"/>
          <w:shd w:val="clear" w:color="auto" w:fill="FFFFFF"/>
        </w:rPr>
        <w:t xml:space="preserve"> </w:t>
      </w:r>
      <w:proofErr w:type="spellStart"/>
      <w:r w:rsidRPr="00AD3EAB">
        <w:rPr>
          <w:i/>
          <w:color w:val="222222"/>
          <w:shd w:val="clear" w:color="auto" w:fill="FFFFFF"/>
        </w:rPr>
        <w:t>Innowacyjność</w:t>
      </w:r>
      <w:proofErr w:type="spellEnd"/>
      <w:r w:rsidRPr="00AD3EAB">
        <w:rPr>
          <w:i/>
          <w:color w:val="222222"/>
          <w:shd w:val="clear" w:color="auto" w:fill="FFFFFF"/>
        </w:rPr>
        <w:t xml:space="preserve"> 2018)</w:t>
      </w:r>
    </w:p>
    <w:p w14:paraId="031D01C9" w14:textId="77777777" w:rsidR="00AC6A9B" w:rsidRPr="00AD3EAB" w:rsidRDefault="00AC6A9B" w:rsidP="00AC6A9B">
      <w:pPr>
        <w:rPr>
          <w:rFonts w:cstheme="minorHAnsi"/>
          <w:i/>
          <w:color w:val="222222"/>
          <w:shd w:val="clear" w:color="auto" w:fill="FFFFFF"/>
        </w:rPr>
      </w:pPr>
    </w:p>
    <w:p w14:paraId="0ADA3A97" w14:textId="77777777" w:rsidR="00AC6A9B" w:rsidRDefault="00AC6A9B" w:rsidP="00AC6A9B">
      <w:pPr>
        <w:keepNext/>
        <w:rPr>
          <w:rFonts w:eastAsiaTheme="minorEastAsia" w:cstheme="minorHAnsi"/>
          <w:color w:val="222222"/>
          <w:shd w:val="clear" w:color="auto" w:fill="FFFFFF"/>
        </w:rPr>
      </w:pPr>
      <w:proofErr w:type="spellStart"/>
      <w:r w:rsidRPr="00E50E4C">
        <w:rPr>
          <w:rFonts w:eastAsiaTheme="minorEastAsia" w:cstheme="minorHAnsi"/>
          <w:color w:val="222222"/>
          <w:shd w:val="clear" w:color="auto" w:fill="FFFFFF"/>
        </w:rPr>
        <w:t>Więcej</w:t>
      </w:r>
      <w:proofErr w:type="spellEnd"/>
      <w:r w:rsidRPr="00E50E4C">
        <w:rPr>
          <w:rFonts w:eastAsiaTheme="minorEastAsia" w:cstheme="minorHAnsi"/>
          <w:color w:val="222222"/>
          <w:shd w:val="clear" w:color="auto" w:fill="FFFFFF"/>
        </w:rPr>
        <w:t xml:space="preserve"> </w:t>
      </w:r>
      <w:proofErr w:type="spellStart"/>
      <w:r w:rsidRPr="00E50E4C">
        <w:rPr>
          <w:rFonts w:eastAsiaTheme="minorEastAsia" w:cstheme="minorHAnsi"/>
          <w:color w:val="222222"/>
          <w:shd w:val="clear" w:color="auto" w:fill="FFFFFF"/>
        </w:rPr>
        <w:t>informacji</w:t>
      </w:r>
      <w:proofErr w:type="spellEnd"/>
      <w:r w:rsidRPr="00E50E4C">
        <w:rPr>
          <w:rFonts w:eastAsiaTheme="minorEastAsia" w:cstheme="minorHAnsi"/>
          <w:color w:val="222222"/>
          <w:shd w:val="clear" w:color="auto" w:fill="FFFFFF"/>
        </w:rPr>
        <w:t xml:space="preserve"> </w:t>
      </w:r>
      <w:proofErr w:type="spellStart"/>
      <w:r w:rsidRPr="00E50E4C">
        <w:rPr>
          <w:rFonts w:eastAsiaTheme="minorEastAsia" w:cstheme="minorHAnsi"/>
          <w:color w:val="222222"/>
          <w:shd w:val="clear" w:color="auto" w:fill="FFFFFF"/>
        </w:rPr>
        <w:t>można</w:t>
      </w:r>
      <w:proofErr w:type="spellEnd"/>
      <w:r w:rsidRPr="00E50E4C">
        <w:rPr>
          <w:rFonts w:eastAsiaTheme="minorEastAsia" w:cstheme="minorHAnsi"/>
          <w:color w:val="222222"/>
          <w:shd w:val="clear" w:color="auto" w:fill="FFFFFF"/>
        </w:rPr>
        <w:t xml:space="preserve"> </w:t>
      </w:r>
      <w:proofErr w:type="spellStart"/>
      <w:r w:rsidRPr="00E50E4C">
        <w:rPr>
          <w:rFonts w:eastAsiaTheme="minorEastAsia" w:cstheme="minorHAnsi"/>
          <w:color w:val="222222"/>
          <w:shd w:val="clear" w:color="auto" w:fill="FFFFFF"/>
        </w:rPr>
        <w:t>znaleźć</w:t>
      </w:r>
      <w:proofErr w:type="spellEnd"/>
      <w:r w:rsidRPr="00E50E4C">
        <w:rPr>
          <w:rFonts w:eastAsiaTheme="minorEastAsia" w:cstheme="minorHAnsi"/>
          <w:color w:val="222222"/>
          <w:shd w:val="clear" w:color="auto" w:fill="FFFFFF"/>
        </w:rPr>
        <w:t xml:space="preserve"> </w:t>
      </w:r>
      <w:proofErr w:type="spellStart"/>
      <w:r w:rsidRPr="00E50E4C">
        <w:rPr>
          <w:rFonts w:eastAsiaTheme="minorEastAsia" w:cstheme="minorHAnsi"/>
          <w:color w:val="222222"/>
          <w:shd w:val="clear" w:color="auto" w:fill="FFFFFF"/>
        </w:rPr>
        <w:t>na</w:t>
      </w:r>
      <w:proofErr w:type="spellEnd"/>
      <w:r w:rsidRPr="00E50E4C">
        <w:rPr>
          <w:rFonts w:eastAsiaTheme="minorEastAsia" w:cstheme="minorHAnsi"/>
          <w:color w:val="222222"/>
          <w:shd w:val="clear" w:color="auto" w:fill="FFFFFF"/>
        </w:rPr>
        <w:t xml:space="preserve"> </w:t>
      </w:r>
      <w:proofErr w:type="spellStart"/>
      <w:r w:rsidRPr="00E50E4C">
        <w:rPr>
          <w:rFonts w:eastAsiaTheme="minorEastAsia" w:cstheme="minorHAnsi"/>
          <w:color w:val="222222"/>
          <w:shd w:val="clear" w:color="auto" w:fill="FFFFFF"/>
        </w:rPr>
        <w:t>stronie</w:t>
      </w:r>
      <w:proofErr w:type="spellEnd"/>
      <w:r w:rsidRPr="00E50E4C">
        <w:rPr>
          <w:rFonts w:eastAsiaTheme="minorEastAsia" w:cstheme="minorHAnsi"/>
          <w:color w:val="222222"/>
          <w:shd w:val="clear" w:color="auto" w:fill="FFFFFF"/>
        </w:rPr>
        <w:t xml:space="preserve"> </w:t>
      </w:r>
      <w:hyperlink r:id="rId11" w:history="1">
        <w:r w:rsidRPr="00E50E4C">
          <w:rPr>
            <w:rStyle w:val="Hipercze"/>
            <w:rFonts w:cs="Arial"/>
          </w:rPr>
          <w:t>www.wmftg.com</w:t>
        </w:r>
      </w:hyperlink>
      <w:r w:rsidRPr="00E50E4C">
        <w:rPr>
          <w:rFonts w:eastAsiaTheme="minorEastAsia" w:cstheme="minorHAnsi"/>
          <w:color w:val="222222"/>
          <w:shd w:val="clear" w:color="auto" w:fill="FFFFFF"/>
        </w:rPr>
        <w:t>.</w:t>
      </w:r>
    </w:p>
    <w:p w14:paraId="710659AB" w14:textId="77777777" w:rsidR="00AC6A9B" w:rsidRPr="00BC5EC6" w:rsidRDefault="00AC6A9B" w:rsidP="00AC6A9B">
      <w:pPr>
        <w:keepNext/>
        <w:rPr>
          <w:rFonts w:eastAsiaTheme="minorEastAsia" w:cstheme="minorHAnsi"/>
          <w:color w:val="222222"/>
          <w:shd w:val="clear" w:color="auto" w:fill="FFFFFF"/>
        </w:rPr>
      </w:pPr>
    </w:p>
    <w:p w14:paraId="64588C00" w14:textId="00BDBA89" w:rsidR="009563B4" w:rsidRDefault="009563B4"/>
    <w:p w14:paraId="53D488CE" w14:textId="1AD41F93" w:rsidR="00E63D17" w:rsidRDefault="00AC6A9B" w:rsidP="00E63D17">
      <w:proofErr w:type="spellStart"/>
      <w:r>
        <w:t>Bibliografia</w:t>
      </w:r>
      <w:proofErr w:type="spellEnd"/>
      <w:r w:rsidR="00E63D17">
        <w:t>:</w:t>
      </w:r>
    </w:p>
    <w:p w14:paraId="1B913BFD" w14:textId="77777777" w:rsidR="00E63D17" w:rsidRDefault="00E63D17" w:rsidP="00E63D17"/>
    <w:p w14:paraId="2DB71F58" w14:textId="189938BF" w:rsidR="00E63D17" w:rsidRDefault="00E63D17" w:rsidP="00E63D17">
      <w:r w:rsidRPr="009563B4">
        <w:t xml:space="preserve">Efraim </w:t>
      </w:r>
      <w:proofErr w:type="spellStart"/>
      <w:r w:rsidRPr="009563B4">
        <w:t>Jaul</w:t>
      </w:r>
      <w:proofErr w:type="spellEnd"/>
      <w:r w:rsidRPr="009563B4">
        <w:t xml:space="preserve"> and </w:t>
      </w:r>
      <w:hyperlink r:id="rId12" w:history="1">
        <w:r w:rsidRPr="009563B4">
          <w:rPr>
            <w:rStyle w:val="Hipercze"/>
          </w:rPr>
          <w:t>Jeremy Barron</w:t>
        </w:r>
      </w:hyperlink>
      <w:r w:rsidR="006D5644">
        <w:t>.</w:t>
      </w:r>
      <w:r>
        <w:rPr>
          <w:vertAlign w:val="superscript"/>
        </w:rPr>
        <w:t xml:space="preserve"> </w:t>
      </w:r>
      <w:r>
        <w:t xml:space="preserve">(2017). </w:t>
      </w:r>
      <w:r w:rsidR="006D5644">
        <w:t>“</w:t>
      </w:r>
      <w:r>
        <w:t>Age-Related Diseases and Clinical and Public Health Implications for the 85 Years Old and Over Population.</w:t>
      </w:r>
      <w:r w:rsidR="006D5644">
        <w:t>”</w:t>
      </w:r>
      <w:r>
        <w:t xml:space="preserve"> </w:t>
      </w:r>
      <w:r w:rsidRPr="009563B4">
        <w:rPr>
          <w:i/>
          <w:iCs/>
        </w:rPr>
        <w:t>Frontiers in Public Health</w:t>
      </w:r>
      <w:r>
        <w:t xml:space="preserve">. 5: 335. </w:t>
      </w:r>
    </w:p>
    <w:p w14:paraId="653A42EA" w14:textId="77777777" w:rsidR="00E63D17" w:rsidRDefault="00E63D17" w:rsidP="00E63D17"/>
    <w:p w14:paraId="072603F2" w14:textId="043E53FC" w:rsidR="00E63D17" w:rsidRDefault="00E63D17" w:rsidP="00E63D17">
      <w:r w:rsidRPr="009563B4">
        <w:t xml:space="preserve">Max </w:t>
      </w:r>
      <w:proofErr w:type="spellStart"/>
      <w:r w:rsidRPr="009563B4">
        <w:t>Roser</w:t>
      </w:r>
      <w:proofErr w:type="spellEnd"/>
      <w:r w:rsidRPr="009563B4">
        <w:t>, Esteban Ortiz-Ospina and Hannah Ritchie</w:t>
      </w:r>
      <w:r>
        <w:t>.</w:t>
      </w:r>
      <w:r w:rsidRPr="009563B4">
        <w:t xml:space="preserve"> (2020)</w:t>
      </w:r>
      <w:r>
        <w:t>.</w:t>
      </w:r>
      <w:r w:rsidRPr="009563B4">
        <w:t xml:space="preserve"> "Life Expectancy". </w:t>
      </w:r>
      <w:r w:rsidRPr="009563B4">
        <w:rPr>
          <w:i/>
          <w:iCs/>
        </w:rPr>
        <w:t>Published online at OurWorldInData.org.</w:t>
      </w:r>
      <w:r w:rsidRPr="009563B4">
        <w:t xml:space="preserve"> Retrieved from: 'https://ourworldindata.org/life-expectancy' [Online Resource]</w:t>
      </w:r>
    </w:p>
    <w:p w14:paraId="57D6369F" w14:textId="63EABA92" w:rsidR="00231ED7" w:rsidRDefault="00231ED7"/>
    <w:p w14:paraId="3F046767" w14:textId="6DF27E7D" w:rsidR="00231ED7" w:rsidRDefault="00231ED7">
      <w:r>
        <w:t>McKinsey</w:t>
      </w:r>
      <w:r w:rsidR="006D5644">
        <w:t xml:space="preserve"> &amp; Company. (2011). “Perspectives on Healthcare in Latin America.” </w:t>
      </w:r>
      <w:r w:rsidR="006D5644" w:rsidRPr="006D5644">
        <w:rPr>
          <w:i/>
          <w:iCs/>
        </w:rPr>
        <w:t>Published on</w:t>
      </w:r>
      <w:r w:rsidR="006D5644">
        <w:rPr>
          <w:i/>
          <w:iCs/>
        </w:rPr>
        <w:t>line at</w:t>
      </w:r>
      <w:r w:rsidR="006D5644" w:rsidRPr="006D5644">
        <w:rPr>
          <w:i/>
          <w:iCs/>
        </w:rPr>
        <w:t xml:space="preserve"> McKinsey.com</w:t>
      </w:r>
      <w:r w:rsidR="006D5644">
        <w:t xml:space="preserve">. Retrieved from: </w:t>
      </w:r>
      <w:hyperlink r:id="rId13" w:history="1">
        <w:r w:rsidR="006D5644" w:rsidRPr="00E74B6F">
          <w:rPr>
            <w:rStyle w:val="Hipercze"/>
          </w:rPr>
          <w:t>https://www.mckinsey.com/~/media/mckinsey/dotcom/client_service/Public%20Sector/PDFS/Perspectives_on_Healthcare_in_Latin_America.ashx</w:t>
        </w:r>
      </w:hyperlink>
      <w:r>
        <w:t xml:space="preserve"> </w:t>
      </w:r>
      <w:r w:rsidR="006D5644">
        <w:t>[Online Resource]</w:t>
      </w:r>
    </w:p>
    <w:p w14:paraId="1766818F" w14:textId="52850924" w:rsidR="00231ED7" w:rsidRDefault="00231ED7"/>
    <w:p w14:paraId="54BC7AC6" w14:textId="41A7FE4A" w:rsidR="00231ED7" w:rsidRDefault="00231ED7">
      <w:r>
        <w:t>Pamela Spence. (2017). “</w:t>
      </w:r>
      <w:r w:rsidRPr="00231ED7">
        <w:t>Why an aging population means opportunity, but</w:t>
      </w:r>
      <w:r w:rsidR="008D5838">
        <w:t xml:space="preserve"> a </w:t>
      </w:r>
      <w:r w:rsidRPr="00231ED7">
        <w:t>lot of work, too</w:t>
      </w:r>
      <w:r>
        <w:t xml:space="preserve">.” </w:t>
      </w:r>
      <w:r w:rsidRPr="006D5644">
        <w:rPr>
          <w:i/>
          <w:iCs/>
        </w:rPr>
        <w:t>Published online at EY.com.</w:t>
      </w:r>
      <w:r>
        <w:t xml:space="preserve"> Retrieved from: ‘</w:t>
      </w:r>
      <w:hyperlink r:id="rId14" w:history="1">
        <w:r w:rsidRPr="00231ED7">
          <w:rPr>
            <w:rStyle w:val="Hipercze"/>
          </w:rPr>
          <w:t>https://www.ey.com/en_gl/life-sciences/why-an-aging-population-means-opportunity-but-a-lot-of-work-too</w:t>
        </w:r>
      </w:hyperlink>
      <w:r>
        <w:t>’ [Online Resource]</w:t>
      </w:r>
    </w:p>
    <w:p w14:paraId="46E9C8D9" w14:textId="77777777" w:rsidR="00231ED7" w:rsidRDefault="00231ED7"/>
    <w:p w14:paraId="1141C7FE" w14:textId="2E9E837F" w:rsidR="00231ED7" w:rsidRDefault="00231ED7">
      <w:r w:rsidRPr="006D5644">
        <w:lastRenderedPageBreak/>
        <w:t>Pharmaceutical Technology.</w:t>
      </w:r>
      <w:r w:rsidR="006D5644">
        <w:t xml:space="preserve"> (2018). “</w:t>
      </w:r>
      <w:r w:rsidR="006D5644" w:rsidRPr="006D5644">
        <w:t>Cost control: drug pricing policies around the world</w:t>
      </w:r>
      <w:r w:rsidR="006D5644">
        <w:t xml:space="preserve">.” </w:t>
      </w:r>
      <w:r w:rsidR="006D5644" w:rsidRPr="006D5644">
        <w:rPr>
          <w:i/>
          <w:iCs/>
        </w:rPr>
        <w:t>Published online at pharmaceutical-technology.com</w:t>
      </w:r>
      <w:r w:rsidR="006D5644">
        <w:t xml:space="preserve">. Retrieved from: </w:t>
      </w:r>
      <w:hyperlink r:id="rId15" w:history="1">
        <w:r w:rsidR="006D5644" w:rsidRPr="00E74B6F">
          <w:rPr>
            <w:rStyle w:val="Hipercze"/>
          </w:rPr>
          <w:t>https://www.pharmaceutical-technology.com/features/cost-control-drug-pricing-policies-around-world/</w:t>
        </w:r>
      </w:hyperlink>
      <w:r w:rsidR="006D5644">
        <w:t xml:space="preserve"> [Online Resource]</w:t>
      </w:r>
    </w:p>
    <w:p w14:paraId="388C31F9" w14:textId="7565F56B" w:rsidR="00231ED7" w:rsidRDefault="00231ED7"/>
    <w:p w14:paraId="659237CE" w14:textId="4EEA392C" w:rsidR="00231ED7" w:rsidRDefault="00231ED7" w:rsidP="00231ED7">
      <w:r>
        <w:t>PwC. “</w:t>
      </w:r>
      <w:r w:rsidRPr="00231ED7">
        <w:t>Depleting resources adding pressure to healthcare</w:t>
      </w:r>
      <w:r>
        <w:t xml:space="preserve">.” </w:t>
      </w:r>
      <w:r w:rsidRPr="006D5644">
        <w:rPr>
          <w:i/>
          <w:iCs/>
        </w:rPr>
        <w:t>Published online at pwc.com</w:t>
      </w:r>
      <w:r>
        <w:t>. Retrieved from: ‘</w:t>
      </w:r>
      <w:hyperlink r:id="rId16" w:history="1">
        <w:r>
          <w:rPr>
            <w:rStyle w:val="Hipercze"/>
          </w:rPr>
          <w:t>https://www.pwc.com/gx/en/industries/healthcare/emerging-trends-pwc-healthcare/depleting-resources.html</w:t>
        </w:r>
      </w:hyperlink>
      <w:r>
        <w:t>’ [Online Resource]</w:t>
      </w:r>
    </w:p>
    <w:p w14:paraId="63851383" w14:textId="56CC14CE" w:rsidR="00231ED7" w:rsidRDefault="004C0798">
      <w:hyperlink w:history="1"/>
    </w:p>
    <w:sectPr w:rsidR="00231ED7" w:rsidSect="00DB3F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B7ABE"/>
    <w:multiLevelType w:val="hybridMultilevel"/>
    <w:tmpl w:val="2270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17"/>
    <w:rsid w:val="000210D6"/>
    <w:rsid w:val="00043AF5"/>
    <w:rsid w:val="000478C2"/>
    <w:rsid w:val="00053D52"/>
    <w:rsid w:val="000C7DC0"/>
    <w:rsid w:val="00132998"/>
    <w:rsid w:val="00137AF4"/>
    <w:rsid w:val="00156A7A"/>
    <w:rsid w:val="001A4436"/>
    <w:rsid w:val="001A582D"/>
    <w:rsid w:val="001D229F"/>
    <w:rsid w:val="001F405F"/>
    <w:rsid w:val="0021206F"/>
    <w:rsid w:val="00231ED7"/>
    <w:rsid w:val="002404DA"/>
    <w:rsid w:val="002604F1"/>
    <w:rsid w:val="002D61B1"/>
    <w:rsid w:val="00340E26"/>
    <w:rsid w:val="0037764A"/>
    <w:rsid w:val="00387766"/>
    <w:rsid w:val="003A1F49"/>
    <w:rsid w:val="003E39F7"/>
    <w:rsid w:val="003E7F2C"/>
    <w:rsid w:val="00404627"/>
    <w:rsid w:val="004102C6"/>
    <w:rsid w:val="00467897"/>
    <w:rsid w:val="004859B7"/>
    <w:rsid w:val="004C0798"/>
    <w:rsid w:val="004D544D"/>
    <w:rsid w:val="004E2F80"/>
    <w:rsid w:val="00510ECB"/>
    <w:rsid w:val="0051776E"/>
    <w:rsid w:val="006D5644"/>
    <w:rsid w:val="006D7604"/>
    <w:rsid w:val="006E5A66"/>
    <w:rsid w:val="006F4801"/>
    <w:rsid w:val="007D2680"/>
    <w:rsid w:val="00804417"/>
    <w:rsid w:val="00810860"/>
    <w:rsid w:val="00823753"/>
    <w:rsid w:val="00862B5E"/>
    <w:rsid w:val="00870768"/>
    <w:rsid w:val="00883349"/>
    <w:rsid w:val="008C4D29"/>
    <w:rsid w:val="008C77A3"/>
    <w:rsid w:val="008D5838"/>
    <w:rsid w:val="009201DA"/>
    <w:rsid w:val="00931427"/>
    <w:rsid w:val="009563B4"/>
    <w:rsid w:val="009B1F92"/>
    <w:rsid w:val="009D196B"/>
    <w:rsid w:val="009D72A2"/>
    <w:rsid w:val="009D7B64"/>
    <w:rsid w:val="009F307A"/>
    <w:rsid w:val="00A549AE"/>
    <w:rsid w:val="00A55E60"/>
    <w:rsid w:val="00AA6D6D"/>
    <w:rsid w:val="00AB124C"/>
    <w:rsid w:val="00AB3D85"/>
    <w:rsid w:val="00AB5D5A"/>
    <w:rsid w:val="00AC1F0C"/>
    <w:rsid w:val="00AC6A9B"/>
    <w:rsid w:val="00B048FE"/>
    <w:rsid w:val="00B30412"/>
    <w:rsid w:val="00B40915"/>
    <w:rsid w:val="00B47848"/>
    <w:rsid w:val="00BB29A1"/>
    <w:rsid w:val="00BE7F73"/>
    <w:rsid w:val="00C048D2"/>
    <w:rsid w:val="00C04E69"/>
    <w:rsid w:val="00C2338E"/>
    <w:rsid w:val="00CE6521"/>
    <w:rsid w:val="00D61A54"/>
    <w:rsid w:val="00D62C25"/>
    <w:rsid w:val="00DB354B"/>
    <w:rsid w:val="00DB3FCA"/>
    <w:rsid w:val="00DC76EA"/>
    <w:rsid w:val="00DE7B8E"/>
    <w:rsid w:val="00DF4924"/>
    <w:rsid w:val="00E22CEA"/>
    <w:rsid w:val="00E55522"/>
    <w:rsid w:val="00E63D17"/>
    <w:rsid w:val="00EB466C"/>
    <w:rsid w:val="00F336AC"/>
    <w:rsid w:val="00F6676E"/>
    <w:rsid w:val="00F878D1"/>
    <w:rsid w:val="00F97F44"/>
    <w:rsid w:val="00FB3D1B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3DAD"/>
  <w15:chartTrackingRefBased/>
  <w15:docId w15:val="{0F592CAC-64F5-7544-B026-D4AAC68B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4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9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9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9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9A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9AE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F405F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F40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D72A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55522"/>
    <w:pPr>
      <w:ind w:left="720"/>
      <w:contextualSpacing/>
    </w:pPr>
  </w:style>
  <w:style w:type="character" w:customStyle="1" w:styleId="comment-text1">
    <w:name w:val="comment-text1"/>
    <w:basedOn w:val="Domylnaczcionkaakapitu"/>
    <w:rsid w:val="001A582D"/>
    <w:rPr>
      <w:vanish w:val="0"/>
      <w:webHidden w:val="0"/>
      <w:specVanish w:val="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63B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A9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C6A9B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skipr.pl" TargetMode="External"/><Relationship Id="rId13" Type="http://schemas.openxmlformats.org/officeDocument/2006/relationships/hyperlink" Target="https://www.mckinsey.com/~/media/mckinsey/dotcom/client_service/Public%20Sector/PDFS/Perspectives_on_Healthcare_in_Latin_America.ash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oanne.lucas@wmftg.com" TargetMode="External"/><Relationship Id="rId12" Type="http://schemas.openxmlformats.org/officeDocument/2006/relationships/hyperlink" Target="https://www.ncbi.nlm.nih.gov/pubmed/?term=Barron%20J%5BAuthor%5D&amp;cauthor=true&amp;cauthor_uid=2931291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wc.com/gx/en/industries/healthcare/emerging-trends-pwc-healthcare/depleting-resource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watson-marlow.com/continuous-processing-pl?utm_source=Referral&amp;utm_medium=global-pr&amp;utm_campaign=continuous-processing-pl" TargetMode="External"/><Relationship Id="rId11" Type="http://schemas.openxmlformats.org/officeDocument/2006/relationships/hyperlink" Target="https://www.wmftg.com/pl-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harmaceutical-technology.com/features/cost-control-drug-pricing-policies-around-world/" TargetMode="External"/><Relationship Id="rId10" Type="http://schemas.openxmlformats.org/officeDocument/2006/relationships/hyperlink" Target="http://www.spiraxsarcoengineering.com/AboutUs/pages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tozek@solskipr.pl" TargetMode="External"/><Relationship Id="rId14" Type="http://schemas.openxmlformats.org/officeDocument/2006/relationships/hyperlink" Target="https://www.ey.com/en_gl/life-sciences/why-an-aging-population-means-opportunity-but-a-lot-of-work-to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D80122-FE91-4234-83DC-D2441BEE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927</Words>
  <Characters>5568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Craggs</dc:creator>
  <cp:keywords/>
  <dc:description/>
  <cp:lastModifiedBy>Jan Stozek</cp:lastModifiedBy>
  <cp:revision>3</cp:revision>
  <dcterms:created xsi:type="dcterms:W3CDTF">2020-05-05T09:39:00Z</dcterms:created>
  <dcterms:modified xsi:type="dcterms:W3CDTF">2020-05-05T09:44:00Z</dcterms:modified>
</cp:coreProperties>
</file>